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仿宋_GB2312" w:hAnsi="黑体" w:eastAsia="仿宋_GB2312"/>
          <w:b w:val="0"/>
          <w:sz w:val="32"/>
        </w:rPr>
      </w:pPr>
      <w:r>
        <w:rPr>
          <w:rFonts w:hint="eastAsia" w:ascii="仿宋_GB2312" w:hAnsi="黑体" w:eastAsia="仿宋_GB2312"/>
          <w:b w:val="0"/>
          <w:sz w:val="32"/>
        </w:rPr>
        <w:t>中国人民银行长沙中心支行关于印发《长沙金融城域网管理办法》的通知</w:t>
      </w:r>
    </w:p>
    <w:p>
      <w:pPr>
        <w:jc w:val="center"/>
        <w:rPr>
          <w:rFonts w:hint="eastAsia" w:ascii="仿宋_GB2312" w:hAnsi="黑体" w:eastAsia="仿宋_GB2312" w:cs="Times New Roman"/>
          <w:b w:val="0"/>
          <w:kern w:val="44"/>
          <w:sz w:val="32"/>
          <w:szCs w:val="20"/>
          <w:lang w:val="en-US" w:eastAsia="zh-CN" w:bidi="ar-SA"/>
        </w:rPr>
      </w:pPr>
      <w:bookmarkStart w:id="1" w:name="_GoBack"/>
      <w:bookmarkEnd w:id="1"/>
      <w:r>
        <w:rPr>
          <w:rFonts w:hint="eastAsia" w:ascii="仿宋_GB2312" w:hAnsi="黑体" w:eastAsia="仿宋_GB2312" w:cs="Times New Roman"/>
          <w:b w:val="0"/>
          <w:kern w:val="44"/>
          <w:sz w:val="32"/>
          <w:szCs w:val="20"/>
          <w:lang w:val="en-US" w:eastAsia="zh-CN" w:bidi="ar-SA"/>
        </w:rPr>
        <w:t>（长银发〔2015〕1号</w:t>
      </w:r>
      <w:r>
        <w:rPr>
          <w:rFonts w:hint="eastAsia" w:ascii="仿宋_GB2312" w:hAnsi="黑体" w:eastAsia="仿宋_GB2312" w:cs="Times New Roman"/>
          <w:b w:val="0"/>
          <w:kern w:val="44"/>
          <w:sz w:val="32"/>
          <w:szCs w:val="20"/>
          <w:lang w:val="en-US" w:eastAsia="zh-CN" w:bidi="ar-SA"/>
        </w:rPr>
        <w:t>）</w:t>
      </w:r>
    </w:p>
    <w:p>
      <w:pPr>
        <w:pStyle w:val="3"/>
        <w:numPr>
          <w:ilvl w:val="0"/>
          <w:numId w:val="1"/>
        </w:numPr>
        <w:jc w:val="center"/>
        <w:rPr>
          <w:rFonts w:hint="eastAsia" w:ascii="仿宋_GB2312" w:hAnsi="仿宋_GB2312" w:eastAsia="仿宋_GB2312"/>
          <w:b w:val="0"/>
          <w:sz w:val="30"/>
        </w:rPr>
      </w:pPr>
      <w:r>
        <w:rPr>
          <w:rFonts w:hint="eastAsia" w:ascii="仿宋_GB2312" w:hAnsi="仿宋_GB2312" w:eastAsia="仿宋_GB2312"/>
          <w:b w:val="0"/>
          <w:sz w:val="30"/>
        </w:rPr>
        <w:t>总则</w:t>
      </w:r>
    </w:p>
    <w:p>
      <w:pPr>
        <w:rPr>
          <w:rFonts w:hint="eastAsia" w:ascii="仿宋_GB2312" w:eastAsia="仿宋_GB2312"/>
        </w:rPr>
      </w:pP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为加强长沙金融城域网的管理，规范和优化长沙金融城域网的资源与环境，确保长沙金融城域网上各业务系统的安全、稳定、高效运行，维护湖南省区域金融稳定，依据《国务院办公厅关于印发中国人民银行主要职责内设机构和人员编制规定的通知》（国办发〔2008〕83号）、《中国人民银行办公厅关于印发中国人民银行金融城域网入网管理办法的通知》（银办发〔2013〕151号）的有关规定，特制定本办法。</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本办法中的长沙金融城域网，是指人民银行系统通过人民银行长沙中心支行与外部机构互联的网络通信平台，由外联机构设备发起的网络连接能够到达人民银行长沙中心支行的网络通信设施（含发起设备）都是长沙金融城域网的范围。长沙金融城域网按照功能分为核心网络和接入网络。核心网络位于人民银行一端，接入网络位于联网机构一端。</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人民银行长沙中心支行为长沙金融城域网的主管单位，湖南省内人民银行各市（州）中心支行为长沙金融城域网的协管单位，其他各联网机构为长沙金融城域网的成员单位。</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本办法适用于联网机构加入和退出长沙金融城域网，以及对联网机构运维、变更、安全等方面的管理。小微金融机构接入长沙金融城域网按照《中国人民银行长沙中心支行关于印发小微金融机构接入长沙金融城域网实施细则（试行）的通知》（长银发〔2012〕44号）办理。</w:t>
      </w: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第二章 机构职责</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长沙中心支行在人民银行总行的指导下负责长沙金融城域网建设、运维、管理等工作。核查联网机构是否符合网络开通条件，制定并组织实施长沙金融城域网的安全控制策略，核准长沙金融城域网运维变更；指导人民银行湖南省内各市（州）中支科技部门开展长沙金融城域网相关工作；负责对联网机构建设、使用长沙金融城域网的情况进行监督检查，组织联网机构建立应急处置机制并组织应急演练。</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人民银行湖南省内各市（州）中心支行在长沙中支的指导下开展长沙金融城域网相关工作，负责长沙金融城域网在本地区内的建设、运维、管理工作。</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联网机构负责长沙金融城域网本端网络建设、运维、安全、应急处置等工作，建立相应的管理制度，接受人民银行科技部门的检查和管理。</w:t>
      </w: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第三章 接入与退出</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申请接入长沙金融城域网的外部机构（以下简称申请机构）需向人民银行提交书面申请，达到人民银行相关技术与管理要求后方可接入。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申请机构接入长沙金融城域网，须采用专线从人民银行批复的物理地点接入，银行业金融机构或接入资金类系统的申请机构，需同时采用两条不同运营商的专线，做到资金类业务与其他业务分道传输，互为热备。</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申请机构需按照《金融业机构编码规范》在金融业机构信息系统内完成赋码，非金融机构需参照金融机构完成赋码。</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接入长沙金融城域网需使用独立的接入路由器，采用硬件防火墙隔离长沙金融城域网与联网机构内部网络，并采用有效的技术手段保障接入长沙金融城域网的计算机安全。接入设备信息安全措施满足人民银行信息系统信息安全等级保护要求。</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申请机构如果使用代理服务器或前置服务器访问长沙金融城域网，应使用硬件防火墙设置停火区，相关服务器应摆放在停火区内。联网机构应按照最小授权原则对接入网络实施访问控制。</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申请机构须实行接入网络与互联网物理隔离（网上银行系统除外）。</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申请机构接入长沙金融城域网按如下步骤办理：申请、初审、检查、复审、回复、接入、报备（参见附件一）。</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长沙地区的申请机构需首先向中国人民银行长沙中心支行科技处提出书面申请；省内其他地区申请机构向当地人民银行市（州）中心支行科技科提出书面申请。申请材料包括申请函、网络接入方案、网络应急预案、接入自查表、业务审批文件（新增金融机构需提交金融许可证）等。</w:t>
      </w: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1.申请函。申请函需有接入事由，接入方式、安全措施的简单描述，必须有申请机构联系人及联系方式，申请机构网络管理员及联系方式，申请</w:t>
      </w:r>
      <w:r>
        <w:rPr>
          <w:rFonts w:hint="eastAsia" w:ascii="仿宋_GB2312" w:eastAsia="仿宋_GB2312"/>
          <w:sz w:val="30"/>
        </w:rPr>
        <w:t>函</w:t>
      </w:r>
      <w:r>
        <w:rPr>
          <w:rFonts w:hint="eastAsia" w:ascii="仿宋_GB2312" w:hAnsi="仿宋_GB2312" w:eastAsia="仿宋_GB2312"/>
          <w:sz w:val="30"/>
          <w:szCs w:val="30"/>
        </w:rPr>
        <w:t>须盖单位公章（</w:t>
      </w:r>
      <w:r>
        <w:rPr>
          <w:rFonts w:hint="eastAsia" w:ascii="仿宋_GB2312" w:eastAsia="仿宋_GB2312"/>
          <w:sz w:val="30"/>
        </w:rPr>
        <w:t>参见</w:t>
      </w:r>
      <w:r>
        <w:rPr>
          <w:rFonts w:hint="eastAsia" w:ascii="仿宋_GB2312" w:hAnsi="仿宋_GB2312" w:eastAsia="仿宋_GB2312"/>
          <w:sz w:val="30"/>
          <w:szCs w:val="30"/>
        </w:rPr>
        <w:t>附件二）。</w:t>
      </w: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2.网络接入方案需对申请机构的网络进行描述，有网络拓扑图，对接入线路方式，网络外联情况，互联网访问情况进行重点描述。（</w:t>
      </w:r>
      <w:r>
        <w:rPr>
          <w:rFonts w:hint="eastAsia" w:ascii="仿宋_GB2312" w:eastAsia="仿宋_GB2312"/>
          <w:sz w:val="30"/>
        </w:rPr>
        <w:t>参见</w:t>
      </w:r>
      <w:r>
        <w:rPr>
          <w:rFonts w:hint="eastAsia" w:ascii="仿宋_GB2312" w:hAnsi="仿宋_GB2312" w:eastAsia="仿宋_GB2312"/>
          <w:sz w:val="30"/>
          <w:szCs w:val="30"/>
        </w:rPr>
        <w:t>附件三）</w:t>
      </w: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3.网络应急预案应重点考虑接入长沙金融城域网后的信息安全风险，应成立应急领导小组、实施小组、技术支持小组并附有名单，有完善可执行的应急处置流程、应急资源等必需的应急预案要件。（</w:t>
      </w:r>
      <w:r>
        <w:rPr>
          <w:rFonts w:hint="eastAsia" w:ascii="仿宋_GB2312" w:eastAsia="仿宋_GB2312"/>
          <w:sz w:val="30"/>
        </w:rPr>
        <w:t>参见</w:t>
      </w:r>
      <w:r>
        <w:rPr>
          <w:rFonts w:hint="eastAsia" w:ascii="仿宋_GB2312" w:hAnsi="仿宋_GB2312" w:eastAsia="仿宋_GB2312"/>
          <w:sz w:val="30"/>
          <w:szCs w:val="30"/>
        </w:rPr>
        <w:t>附件四）</w:t>
      </w:r>
    </w:p>
    <w:p>
      <w:pPr>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4.接入自查表。在申请接入前，申请机构应对照自查表中的管理与技术要求开展自查，自查表填写完成后，应签字并盖章确认。（</w:t>
      </w:r>
      <w:r>
        <w:rPr>
          <w:rFonts w:hint="eastAsia" w:ascii="仿宋_GB2312" w:eastAsia="仿宋_GB2312"/>
          <w:sz w:val="30"/>
        </w:rPr>
        <w:t>参见</w:t>
      </w:r>
      <w:r>
        <w:rPr>
          <w:rFonts w:hint="eastAsia" w:ascii="仿宋_GB2312" w:hAnsi="仿宋_GB2312" w:eastAsia="仿宋_GB2312"/>
          <w:sz w:val="30"/>
          <w:szCs w:val="30"/>
        </w:rPr>
        <w:t>附件五）</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当地人民银行科技部门接到申请后，按接入要求初审，在15个工作日内告知申请机构初审结果。不符合接入要求的，退回申请机构修改或回复不准许接入；对初审合格的申请机构，如需报上级行审批的，按程序报批，不需上级行审批的，当地人民银行科技部门回复申请机构初审通过。申请机构开始准备接入检查工作，准备工作完毕后向当地人民银行科技部门申请接入检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当地人民银行科技部门接到接入检查申请后，成立不得少于2人的接入检查小组执行接入检查，申请机构应配合检查小组开展接入检查。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接入检查完毕后，检查小组对检查结果进行总结并形成结论， 15个工作日内以《接入检查结果通知书》（参见附件六）的方式回复申请机构。</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接到接入检查结果通知书后，应组织对接入检查中发现的问题开展整改，整改完成后向人民银行科技部门报告整改情况（参见附件六，附2），检查组视情况开展复查，复查完成后，检查组填写整改落实情况复查报告表(参见附件七)并向本单位科技部门负责人报告。</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检查完成后，检查组将检查情况向本单位科技部门负责人汇报，由科技部门负责人安排复审事宜。复审主要内容一是由申请机构所在地人民银行科技主管行领导或科技部门负责人对联网机构负责人约见谈话；二是由申请机构所在地人民银行科技部门对申请机构的技术人员进行面谈、考试等合格性审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复审合格后，申请机构在长沙地区的，由人民银行长沙中心支行科技处在15个工作日内做出准许接入与否的结论；申请机构不在长沙地区的，由申请机构所在地人民银行科技部门做出建议结论（参见附件八）并报中国人民银行长沙中心支行科技处审批，人民银行长沙中心支行科技处在接到审批申请后，15个工作日内做出准许接入与否的结论，并批复（参见附件九）申请机构所在地人民银行科技部门，申请机构所在地人民银行科技部门按批复结论复函（参见附件十）给申请机构。</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申请机构接到允许接入长沙金融城域网的复函后，应与人民银行科技部门联系接入事宜，由当地人民银行科技部门网络管理员分配网络资源，严格按照接入方案实施网络接入。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 xml:space="preserve">接入工作完成后，申请机构应在5个工作日内向人民银行长沙中心支行科技处报备（参见附件十一）。 </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退出长沙金融城域网，须向当地人民银行科技部门提出申请，人民银行科技部门采用物理断网措施，并对申请做出书面回复后方可退出。在人民银行书面正式回复准许退网前，由该联网机构线路引发的长沙金融城域网信息安全事故，由该联网机构负责。</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未经人民银行批准，任何机构不得通过其他长沙金融城域网联网机构代理的方式接入长沙金融城域网。对确有需要代理接入的，由申请机构主办、代理机构协办向当地人民银行科技部门发起申请，人民银行长沙中支科技处批准后方可实施。申请材料除一般性接入材料外，还应包括代理接入申请表（参见附件十二）</w:t>
      </w:r>
    </w:p>
    <w:p>
      <w:pPr>
        <w:tabs>
          <w:tab w:val="left" w:pos="0"/>
          <w:tab w:val="left" w:pos="1125"/>
        </w:tabs>
        <w:adjustRightInd w:val="0"/>
        <w:rPr>
          <w:rFonts w:hint="eastAsia" w:ascii="仿宋_GB2312" w:eastAsia="仿宋_GB2312"/>
          <w:sz w:val="30"/>
        </w:rPr>
      </w:pPr>
    </w:p>
    <w:p>
      <w:pPr>
        <w:tabs>
          <w:tab w:val="left" w:pos="0"/>
          <w:tab w:val="left" w:pos="1125"/>
        </w:tabs>
        <w:adjustRightInd w:val="0"/>
        <w:rPr>
          <w:rFonts w:hint="eastAsia" w:ascii="仿宋_GB2312" w:eastAsia="仿宋_GB2312"/>
          <w:sz w:val="30"/>
        </w:rPr>
      </w:pP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第四章 运维管理</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联网机构扩大或缩小长沙金融城域网信息系统使用范围，需向人民银行长沙中心支行提交书面申请文件（参见附件十三），长沙中心支行科技处与相关业务处室核准后方可实施变更。</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人民银行科技部门负责长沙金融城域网核心网络的日常运行维护、监测和管理工作。联网机构负责本机构接入网络及接入线路的日常运行维护工作。</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联网机构须配备网络管理员A、B角，负责接入网络的运行维护。网络管理员发生变动时，新接替的网络管理员需经过人民银行科技部门合格性审查（面谈、考试）后方可上岗。</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联网机构在发现故障后应按照优先恢复业务的原则进行处理，联网机构应预留适当的备件或购买第三方备件服务，在发生故障时应及时向受影响方发布信息。</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联网机构应针对长沙金融城域网及网上运行的各项业务系统制定相应的运维管理制度（含网络与机房相关管理制度），做好制度的落实，定期对长沙金融城域网信息系统进行检查。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联网机构应保证接入长沙金融城域网的网络、安全设备7×24小时开机运行，网络管理员应每日对接入长沙金融城域网的情况巡检，有完整的巡检记录。</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联网机构的接入网络设备、安全设备、线路、前置机应有完整的运维记录，记录内容应至少包括故障发生时间，运维开始及结束时间，运维人员，过程记录，结果记录。</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接入服务器、网络设备、安全设备须按要求设置管理口令，口令应至少每三个月更换一次且密码强度满足安全性要求。每次口令变更后须及时笔录、密封并交联网机构科技部门负责人保管，或由负责人授权专人保管，口令拆阅后应立即更改。</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联网机构接入网络设备、安全设备的配置应保证每半年备份一次，保存时以设备主机名加备份日期为文件名保存，并做好异地数据备份和保管工作。</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当发生网络线路中断时，联网机构在2小时内没解决故障的，应向当地人民银行科技部门报告处理情况；当发生网络通信中断时，联网机构网络管理员应当立即向当地人民银行科技部门报告，启动应急预案,并随时向当地人民银行科技部门报告处理情况，处理完成后应向当地人民银行科技部门书面报告。</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若需对网络接入参数进行变更，或对接入长沙金融城域网的数据传输线路进行扩容、迁移、注销等应填写《长沙金融城域网节点变更申请表》（参见附件十三)报当地人民银行科技部门审批，批准后方可进行相关实施工作。</w:t>
      </w: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第五章 资源管理</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本办法所称“网络资源”包括IP地址、域名、线路带宽、网络及安全设备和相关文档等。</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长沙金融城域网的网络资源由长沙中心支行科技处负责统一规划，省内各市（州）中心支行科技部门协助管理辖内联网机构使用的长沙金融城域网资源。</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联网机构应严格按照人民银行科技部门的分配使用地址、域名等资源。</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长沙金融城域网IP地址变更、新增业务访问人民银行相关系统、网络设备更换及新增、服务质量保证（QOS）变更、变更业务的使用线路、线路调整等需提前填写《长沙金融城域网节点变更申请表》（参见附件十三）并向当地人民银行科技部门申请。</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联网机构网络及安全设备的安全策略发生变动（指访问控制安全策略，不包含安全增强策略）或发生应急预案修改等网络文挡变更，需报当地人民银行科技部门备案。</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联网机构实施有可能影响长沙金融城域网正常运行的重大网络变更前，应提前5天通知所有相关成员单位并安排在节假日进行，同时做好配置参数的备份和应急恢复准备。</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人民银行科技部门应于每年十一月二十日前向上级科技部门上报本区域内长沙金融城域网接入、配置及资源使用情况。</w:t>
      </w:r>
    </w:p>
    <w:p>
      <w:pPr>
        <w:rPr>
          <w:rFonts w:hint="eastAsia" w:ascii="仿宋_GB2312" w:hAnsi="仿宋_GB2312" w:eastAsia="仿宋_GB2312"/>
          <w:sz w:val="28"/>
        </w:rPr>
      </w:pP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第六章 安全管理</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人民银行科技部门定期检查联网机构的长沙金融城域网使用及信息安全状况，并视情况进行通报。</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联网机构应配备经过国家相关部门认证的国产安全设备，并严格按照拟开展的业务需求进行网络、安全参数配置，只允许授权的计算机系统利用长沙金融城域网办理与人民银行有关的业务。</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配置有效的技术手段禁止国际互联网通过本端网络设备与长沙金融城域网联通，使用长沙金融城域网信息系统的业务终端和服务器禁止使用国际互联网。无网上银行系统的联网机构须做到与国际互联网物理隔离。</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联网机构应在接入网络与长沙金融城域网间布置硬件防火墙，将与人民银行连接的服务器安装在停火区内，采取地址转换、访问控制、关闭非必要端口等技术手段，限制无关用户对长沙金融城域网的访问。</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联网机构应遵守国家有关规定，合法使用长沙金融城域网，不得利用长沙金融城域网进行与工作无关的活动，对通过长沙金融城域网所发布、交换的信息内容负责。</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联网机构应做好接入计算机系统、网络系统、机房环境的安全管理，及时安装系统安全补丁、升级病毒定义库，防止遭受黑客攻击、被植入木马或感染病毒。</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联网机构计算机系统或网络系统向长沙金融城域网传播木马或病毒、发出黑客攻击等事件时，人民银行依照“先断网后处理”原则，切断联网机构的接入线路，待联网机构确认已清除危害后再恢复其线路接入。</w:t>
      </w:r>
    </w:p>
    <w:p>
      <w:pPr>
        <w:rPr>
          <w:rFonts w:hint="eastAsia" w:ascii="仿宋_GB2312" w:eastAsia="仿宋_GB2312"/>
        </w:rPr>
      </w:pPr>
    </w:p>
    <w:p>
      <w:pPr>
        <w:rPr>
          <w:rFonts w:hint="eastAsia" w:ascii="仿宋_GB2312" w:eastAsia="仿宋_GB2312"/>
        </w:rPr>
      </w:pP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第七章 应急管理</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人民银行长沙中心支行及省内各市（州）中心支行负责长沙金融城域网核心网络的应急管理工作，联网机构具体负责接入网络的应急管理工作</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联网机构应成立网络应急领导小组和实施小组，定期修订网络应急预案。</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网络应急实施小组应结合本单位实际情况，定期组织培训和应急演练，提高应对突发事件的能力，有效、快速、合理地应对突发事件，最大程度地减少信息安全事件造成损失和影响，保障业务的连续运行。</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联网机构在应急演练完成后，应对应急预案进行评估及修订。</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联网机构应本着坚持平战结合、充分利用现有资源的原则，准备必须的应急设备和物资。</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发生重大网络故障符合应急预案启动条件的，应按程序启动应急预案。</w:t>
      </w: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第八章 违规处理</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长沙金融城域网联网机构有以下行为之一的，经人民银行查实，根据造成的影响情况对该单位给予约见负责人谈话、通报批评、</w:t>
      </w:r>
      <w:bookmarkStart w:id="0" w:name="OLE_LINK5"/>
      <w:r>
        <w:rPr>
          <w:rFonts w:hint="eastAsia" w:ascii="仿宋_GB2312" w:eastAsia="仿宋_GB2312"/>
          <w:sz w:val="30"/>
        </w:rPr>
        <w:t>暂停部分业务或业务系统、暂停接入</w:t>
      </w:r>
      <w:bookmarkEnd w:id="0"/>
      <w:r>
        <w:rPr>
          <w:rFonts w:hint="eastAsia" w:ascii="仿宋_GB2312" w:eastAsia="仿宋_GB2312"/>
          <w:sz w:val="30"/>
        </w:rPr>
        <w:t>长沙金融城域网或停止接入长沙金融城域网处理。被停止接入长沙金融城域网的用户，在进行整改及验收通过后，需重新申请接入。</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违背网络隔离规定；</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使用带有黑客入侵性质软件在长沙金融城域网上扫描、攻击、破坏其他联网计算机；</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制作、发布、传播计算机病毒；</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传播任何反动、黄色、迷信等国家明令禁止的信息；</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传送与工作无关的大容量数据；</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擅自更改长沙金融城域网络配置，导致长沙金融城域网不能正常稳定运行；</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未经人民银行批准，擅自为其他机构和个人提供代理方式接入长沙金融城域网；</w:t>
      </w:r>
    </w:p>
    <w:p>
      <w:pPr>
        <w:numPr>
          <w:ilvl w:val="3"/>
          <w:numId w:val="2"/>
        </w:numPr>
        <w:tabs>
          <w:tab w:val="left" w:pos="0"/>
        </w:tabs>
        <w:adjustRightInd w:val="0"/>
        <w:ind w:left="0" w:firstLine="600" w:firstLineChars="200"/>
        <w:rPr>
          <w:rFonts w:hint="eastAsia" w:ascii="仿宋_GB2312" w:eastAsia="仿宋_GB2312"/>
          <w:sz w:val="30"/>
        </w:rPr>
      </w:pPr>
      <w:r>
        <w:rPr>
          <w:rFonts w:hint="eastAsia" w:ascii="仿宋_GB2312" w:eastAsia="仿宋_GB2312"/>
          <w:sz w:val="30"/>
        </w:rPr>
        <w:t>违反国家安全法律法规及本办法的其它行为。</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人民银行科技部门负责对本办法的执行情况进行检查，并将检查情况进行通报。</w:t>
      </w:r>
    </w:p>
    <w:p>
      <w:pPr>
        <w:rPr>
          <w:rFonts w:hint="eastAsia" w:ascii="仿宋_GB2312" w:eastAsia="仿宋_GB2312"/>
        </w:rPr>
      </w:pPr>
    </w:p>
    <w:p>
      <w:pPr>
        <w:pStyle w:val="3"/>
        <w:jc w:val="center"/>
        <w:rPr>
          <w:rFonts w:hint="eastAsia" w:ascii="仿宋_GB2312" w:hAnsi="仿宋_GB2312" w:eastAsia="仿宋_GB2312"/>
          <w:b w:val="0"/>
          <w:sz w:val="30"/>
        </w:rPr>
      </w:pPr>
      <w:r>
        <w:rPr>
          <w:rFonts w:hint="eastAsia" w:ascii="仿宋_GB2312" w:hAnsi="仿宋_GB2312" w:eastAsia="仿宋_GB2312"/>
          <w:b w:val="0"/>
          <w:sz w:val="30"/>
        </w:rPr>
        <w:t>第九章 附则</w:t>
      </w:r>
    </w:p>
    <w:p>
      <w:pPr>
        <w:numPr>
          <w:ilvl w:val="1"/>
          <w:numId w:val="1"/>
        </w:numPr>
        <w:tabs>
          <w:tab w:val="left" w:pos="0"/>
          <w:tab w:val="left" w:pos="1125"/>
        </w:tabs>
        <w:adjustRightInd w:val="0"/>
        <w:ind w:left="0" w:firstLine="600" w:firstLineChars="200"/>
        <w:rPr>
          <w:rFonts w:hint="eastAsia" w:ascii="仿宋_GB2312" w:eastAsia="仿宋_GB2312"/>
          <w:sz w:val="30"/>
        </w:rPr>
      </w:pPr>
      <w:r>
        <w:rPr>
          <w:rFonts w:hint="eastAsia" w:ascii="仿宋_GB2312" w:eastAsia="仿宋_GB2312"/>
          <w:sz w:val="30"/>
        </w:rPr>
        <w:t>本办法由中国人民银行长沙中心支行负责解释。</w:t>
      </w:r>
    </w:p>
    <w:p>
      <w:r>
        <w:rPr>
          <w:rFonts w:hint="eastAsia" w:ascii="仿宋_GB2312" w:eastAsia="仿宋_GB2312"/>
          <w:sz w:val="30"/>
        </w:rPr>
        <w:t>本办法自印发之日起执行。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japaneseCounting"/>
      <w:lvlText w:val="第%1条"/>
      <w:lvlJc w:val="left"/>
      <w:pPr>
        <w:tabs>
          <w:tab w:val="left" w:pos="1618"/>
        </w:tabs>
        <w:ind w:left="1618" w:hanging="1080"/>
      </w:pPr>
      <w:rPr>
        <w:rFonts w:hint="eastAsia"/>
      </w:rPr>
    </w:lvl>
    <w:lvl w:ilvl="1" w:tentative="0">
      <w:start w:val="2"/>
      <w:numFmt w:val="japaneseCounting"/>
      <w:lvlText w:val="第%2章"/>
      <w:lvlJc w:val="left"/>
      <w:pPr>
        <w:tabs>
          <w:tab w:val="left" w:pos="2038"/>
        </w:tabs>
        <w:ind w:left="2038" w:hanging="1080"/>
      </w:pPr>
      <w:rPr>
        <w:rFonts w:hint="eastAsia"/>
      </w:rPr>
    </w:lvl>
    <w:lvl w:ilvl="2" w:tentative="0">
      <w:start w:val="1"/>
      <w:numFmt w:val="japaneseCounting"/>
      <w:lvlText w:val="%3、"/>
      <w:lvlJc w:val="left"/>
      <w:pPr>
        <w:tabs>
          <w:tab w:val="left" w:pos="2548"/>
        </w:tabs>
        <w:ind w:left="2548" w:hanging="1170"/>
      </w:pPr>
      <w:rPr>
        <w:rFonts w:hint="eastAsia" w:hAnsi="Times New Roman"/>
      </w:rPr>
    </w:lvl>
    <w:lvl w:ilvl="3" w:tentative="0">
      <w:start w:val="1"/>
      <w:numFmt w:val="japaneseCounting"/>
      <w:lvlText w:val="（%4）"/>
      <w:lvlJc w:val="left"/>
      <w:pPr>
        <w:tabs>
          <w:tab w:val="left" w:pos="2878"/>
        </w:tabs>
        <w:ind w:left="2878" w:hanging="1080"/>
      </w:pPr>
      <w:rPr>
        <w:rFonts w:hint="eastAsia"/>
        <w:lang w:val="en-US"/>
      </w:r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
    <w:nsid w:val="00000015"/>
    <w:multiLevelType w:val="multilevel"/>
    <w:tmpl w:val="00000015"/>
    <w:lvl w:ilvl="0" w:tentative="0">
      <w:start w:val="1"/>
      <w:numFmt w:val="japaneseCounting"/>
      <w:lvlText w:val="第%1章"/>
      <w:lvlJc w:val="left"/>
      <w:pPr>
        <w:tabs>
          <w:tab w:val="left" w:pos="1605"/>
        </w:tabs>
        <w:ind w:left="1605" w:hanging="1605"/>
      </w:pPr>
      <w:rPr>
        <w:rFonts w:hint="eastAsia"/>
      </w:rPr>
    </w:lvl>
    <w:lvl w:ilvl="1" w:tentative="0">
      <w:start w:val="1"/>
      <w:numFmt w:val="japaneseCounting"/>
      <w:lvlText w:val="第%2条"/>
      <w:lvlJc w:val="left"/>
      <w:pPr>
        <w:tabs>
          <w:tab w:val="left" w:pos="1665"/>
        </w:tabs>
        <w:ind w:left="1665" w:hanging="1125"/>
      </w:pPr>
      <w:rPr>
        <w:rFonts w:hint="eastAsia" w:ascii="仿宋_GB2312" w:eastAsia="仿宋_GB2312"/>
        <w:sz w:val="30"/>
        <w:szCs w:val="30"/>
      </w:rPr>
    </w:lvl>
    <w:lvl w:ilvl="2" w:tentative="0">
      <w:start w:val="1"/>
      <w:numFmt w:val="japaneseCounting"/>
      <w:lvlText w:val="（%3）"/>
      <w:lvlJc w:val="left"/>
      <w:pPr>
        <w:tabs>
          <w:tab w:val="left" w:pos="1920"/>
        </w:tabs>
        <w:ind w:left="1920" w:hanging="10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WM4OWM1ZWE4MzM5OTBiZTc4ZWM2YTQ5NjZkMjQifQ=="/>
  </w:docVars>
  <w:rsids>
    <w:rsidRoot w:val="30C41B91"/>
    <w:rsid w:val="2BB769A1"/>
    <w:rsid w:val="30C4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5516</Words>
  <Characters>5542</Characters>
  <Lines>0</Lines>
  <Paragraphs>0</Paragraphs>
  <TotalTime>0</TotalTime>
  <ScaleCrop>false</ScaleCrop>
  <LinksUpToDate>false</LinksUpToDate>
  <CharactersWithSpaces>5552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2021-10-29T03:16:00Z</dcterms:created>
  <dc:creator>周密</dc:creator>
  <cp:lastModifiedBy>飞燕pp</cp:lastModifiedBy>
  <dcterms:modified xsi:type="dcterms:W3CDTF">2023-05-30T03:52:28Z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855F1292F8B14A919C74D3408DF09804_12</vt:lpwstr>
  </property>
</Properties>
</file>