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883" w:firstLineChars="200"/>
        <w:jc w:val="center"/>
        <w:rPr>
          <w:rFonts w:hint="eastAsia" w:ascii="仿宋" w:hAnsi="仿宋" w:eastAsia="仿宋" w:cs="仿宋"/>
          <w:b/>
          <w:bCs/>
          <w:sz w:val="44"/>
          <w:szCs w:val="44"/>
        </w:rPr>
      </w:pPr>
      <w:r>
        <w:rPr>
          <w:rFonts w:hint="eastAsia" w:ascii="仿宋" w:hAnsi="仿宋" w:eastAsia="仿宋" w:cs="仿宋"/>
          <w:b/>
          <w:bCs/>
          <w:sz w:val="44"/>
          <w:szCs w:val="44"/>
        </w:rPr>
        <w:t>黄金制品进出口审批事项服务指南</w: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2400" w:firstLineChars="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发布日期：202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21</w:t>
      </w:r>
      <w:bookmarkStart w:id="0" w:name="_GoBack"/>
      <w:bookmarkEnd w:id="0"/>
      <w:r>
        <w:rPr>
          <w:rFonts w:hint="eastAsia" w:ascii="仿宋_GB2312" w:hAnsi="仿宋_GB2312" w:eastAsia="仿宋_GB2312" w:cs="仿宋_GB2312"/>
          <w:sz w:val="30"/>
          <w:szCs w:val="30"/>
        </w:rPr>
        <w:t>日</w:t>
      </w:r>
    </w:p>
    <w:p>
      <w:pPr>
        <w:ind w:firstLine="2400" w:firstLineChars="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实施日期：自发布之日起</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发布机构：中国人民银行</w:t>
      </w:r>
      <w:r>
        <w:rPr>
          <w:rFonts w:hint="eastAsia" w:ascii="仿宋_GB2312" w:hAnsi="仿宋_GB2312" w:eastAsia="仿宋_GB2312" w:cs="仿宋_GB2312"/>
          <w:sz w:val="30"/>
          <w:szCs w:val="30"/>
          <w:lang w:eastAsia="zh-CN"/>
        </w:rPr>
        <w:t>湖南省分行</w:t>
      </w:r>
    </w:p>
    <w:p>
      <w:pPr>
        <w:jc w:val="left"/>
        <w:rPr>
          <w:rFonts w:hint="eastAsia" w:ascii="仿宋_GB2312" w:hAnsi="仿宋_GB2312" w:eastAsia="仿宋_GB2312" w:cs="仿宋_GB2312"/>
          <w:sz w:val="30"/>
          <w:szCs w:val="30"/>
        </w:rPr>
      </w:pPr>
    </w:p>
    <w:p>
      <w:pPr>
        <w:jc w:val="center"/>
        <w:rPr>
          <w:rFonts w:hint="eastAsia" w:ascii="黑体" w:hAnsi="黑体" w:eastAsia="黑体" w:cs="黑体"/>
          <w:sz w:val="32"/>
          <w:szCs w:val="32"/>
        </w:rPr>
      </w:pPr>
      <w:r>
        <w:rPr>
          <w:rFonts w:hint="eastAsia" w:ascii="黑体" w:hAnsi="黑体" w:eastAsia="黑体" w:cs="黑体"/>
          <w:sz w:val="32"/>
          <w:szCs w:val="32"/>
        </w:rPr>
        <w:t>黄金制品进出口审批事项服务指南</w: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一、适用范围</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本指南适用于黄金制品进出口审批事项的申请和办理。</w:t>
      </w:r>
    </w:p>
    <w:p>
      <w:pPr>
        <w:numPr>
          <w:ilvl w:val="0"/>
          <w:numId w:val="1"/>
        </w:num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事项审查类型</w:t>
      </w:r>
    </w:p>
    <w:p>
      <w:pPr>
        <w:ind w:left="420" w:left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前审后批。</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三、审批依据</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《国务院对确需保留的行政审批项目设定行政许可的决定》（国务院令412号）第216项：黄金及其制品进出口审批。</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四、受理机构</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湖南</w:t>
      </w:r>
      <w:r>
        <w:rPr>
          <w:rFonts w:hint="eastAsia" w:ascii="仿宋_GB2312" w:hAnsi="仿宋_GB2312" w:eastAsia="仿宋_GB2312" w:cs="仿宋_GB2312"/>
          <w:sz w:val="30"/>
          <w:szCs w:val="30"/>
        </w:rPr>
        <w:t>省内地市级以上分支机构货币金银部门</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五、审核机构</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湖南</w:t>
      </w:r>
      <w:r>
        <w:rPr>
          <w:rFonts w:hint="eastAsia" w:ascii="仿宋_GB2312" w:hAnsi="仿宋_GB2312" w:eastAsia="仿宋_GB2312" w:cs="仿宋_GB2312"/>
          <w:sz w:val="30"/>
          <w:szCs w:val="30"/>
        </w:rPr>
        <w:t>省内地市级以上分支机构货币金银部门</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六、决定机构</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湖南省分行</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七、数量限制</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根据《黄金及黄金制品进出口管理办法》（中国人民银行 海关总署令〔2015〕第1号发布）规定，中国人民银行根据国家宏观经济调控需求，可以对黄金制品进出口的数量进行限制性审批。</w:t>
      </w:r>
    </w:p>
    <w:p>
      <w:pPr>
        <w:ind w:firstLine="600" w:firstLineChars="200"/>
        <w:jc w:val="left"/>
        <w:rPr>
          <w:rFonts w:hint="eastAsia" w:ascii="仿宋_GB2312" w:hAnsi="仿宋_GB2312" w:eastAsia="仿宋_GB2312" w:cs="仿宋_GB2312"/>
          <w:b/>
          <w:bCs/>
          <w:sz w:val="30"/>
          <w:szCs w:val="30"/>
        </w:rPr>
      </w:pPr>
      <w:r>
        <w:rPr>
          <w:rFonts w:hint="eastAsia" w:ascii="黑体" w:hAnsi="黑体" w:eastAsia="黑体" w:cs="黑体"/>
          <w:b w:val="0"/>
          <w:bCs w:val="0"/>
          <w:sz w:val="30"/>
          <w:szCs w:val="30"/>
        </w:rPr>
        <w:t>八、申请条件</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申请黄金制品进出口（除因公益事业捐赠进口黄金制品）的，应当具备法人或其他组织资格，近2年内无相关违法违规行为，并且具备下列条件之一：</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1.生产、加工或者使用相关黄金制品的企业，有必要的生产场所、设备和设施，生产过程中的污染物排放达到国家环保标准，有连续3年且年均不少于100万元人民币的纳税记录；</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2.适用海关认证企业管理的外贸经营企业，有连续3年且年均不少于300万元人民币的纳税记录；</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3.因国家科研项目、重点课题需要使用黄金制品的教育机构、科学研究机构等。</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九、禁止性要求</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（一）黄金制品进出口资格申请不符合《黄金及黄金制品进出口管理办法》规定条件的不予许可。</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（二）黄金制品进出口申请不符合国家宏观经济调控需要或海关监管要求的不予许可。</w:t>
      </w:r>
    </w:p>
    <w:p>
      <w:pPr>
        <w:ind w:firstLine="600" w:firstLineChars="200"/>
        <w:jc w:val="left"/>
        <w:rPr>
          <w:rFonts w:hint="eastAsia" w:ascii="仿宋_GB2312" w:hAnsi="仿宋_GB2312" w:eastAsia="仿宋_GB2312" w:cs="仿宋_GB2312"/>
          <w:b/>
          <w:bCs/>
          <w:sz w:val="30"/>
          <w:szCs w:val="30"/>
        </w:rPr>
      </w:pPr>
      <w:r>
        <w:rPr>
          <w:rFonts w:hint="eastAsia" w:ascii="黑体" w:hAnsi="黑体" w:eastAsia="黑体" w:cs="黑体"/>
          <w:b w:val="0"/>
          <w:bCs w:val="0"/>
          <w:sz w:val="30"/>
          <w:szCs w:val="30"/>
        </w:rPr>
        <w:t>十、申请材料</w:t>
      </w:r>
    </w:p>
    <w:tbl>
      <w:tblPr>
        <w:tblStyle w:val="4"/>
        <w:tblW w:w="0" w:type="auto"/>
        <w:jc w:val="center"/>
        <w:tblLayout w:type="fixed"/>
        <w:tblCellMar>
          <w:top w:w="0" w:type="dxa"/>
          <w:left w:w="0" w:type="dxa"/>
          <w:bottom w:w="0" w:type="dxa"/>
          <w:right w:w="0" w:type="dxa"/>
        </w:tblCellMar>
      </w:tblPr>
      <w:tblGrid>
        <w:gridCol w:w="537"/>
        <w:gridCol w:w="1095"/>
        <w:gridCol w:w="715"/>
        <w:gridCol w:w="652"/>
        <w:gridCol w:w="1928"/>
        <w:gridCol w:w="1133"/>
        <w:gridCol w:w="1953"/>
      </w:tblGrid>
      <w:tr>
        <w:tblPrEx>
          <w:tblCellMar>
            <w:top w:w="0" w:type="dxa"/>
            <w:left w:w="0" w:type="dxa"/>
            <w:bottom w:w="0" w:type="dxa"/>
            <w:right w:w="0"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提交材料名称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原件/复印件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份数</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要求</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hint="eastAsia" w:ascii="仿宋" w:hAnsi="仿宋" w:eastAsia="仿宋"/>
                <w:b/>
                <w:color w:val="000000"/>
                <w:sz w:val="24"/>
              </w:rPr>
              <w:t>申请类型</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备注</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申请说明</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应当载明申请人的名称、住所（办公场所）、企业概况、进出口黄金</w:t>
            </w:r>
            <w:r>
              <w:rPr>
                <w:rFonts w:hint="eastAsia" w:ascii="仿宋" w:hAnsi="仿宋" w:eastAsia="仿宋"/>
                <w:color w:val="000000"/>
                <w:sz w:val="22"/>
              </w:rPr>
              <w:t>制品</w:t>
            </w:r>
            <w:r>
              <w:rPr>
                <w:rFonts w:ascii="仿宋" w:hAnsi="仿宋" w:eastAsia="仿宋"/>
                <w:color w:val="000000"/>
                <w:sz w:val="22"/>
              </w:rPr>
              <w:t>的用途和计划数量等。</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示范文本见附录2</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w:t>
            </w:r>
            <w:r>
              <w:rPr>
                <w:rFonts w:hint="eastAsia" w:ascii="仿宋" w:hAnsi="仿宋" w:eastAsia="仿宋"/>
                <w:color w:val="000000"/>
                <w:sz w:val="22"/>
              </w:rPr>
              <w:t>黄金及其制品</w:t>
            </w:r>
            <w:r>
              <w:rPr>
                <w:rFonts w:ascii="仿宋" w:hAnsi="仿宋" w:eastAsia="仿宋"/>
                <w:color w:val="000000"/>
                <w:sz w:val="22"/>
              </w:rPr>
              <w:t>进出口申请表》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按</w:t>
            </w:r>
            <w:r>
              <w:rPr>
                <w:rFonts w:hint="eastAsia" w:ascii="仿宋" w:hAnsi="仿宋" w:eastAsia="仿宋"/>
                <w:color w:val="000000"/>
                <w:sz w:val="22"/>
              </w:rPr>
              <w:t>中国人民银行</w:t>
            </w:r>
            <w:r>
              <w:rPr>
                <w:rFonts w:hint="eastAsia" w:ascii="仿宋" w:hAnsi="仿宋" w:eastAsia="仿宋"/>
                <w:color w:val="000000"/>
                <w:sz w:val="22"/>
                <w:lang w:eastAsia="zh-CN"/>
              </w:rPr>
              <w:t>湖南省分行</w:t>
            </w:r>
            <w:r>
              <w:rPr>
                <w:rFonts w:ascii="仿宋" w:hAnsi="仿宋" w:eastAsia="仿宋"/>
                <w:color w:val="000000"/>
                <w:sz w:val="22"/>
              </w:rPr>
              <w:t>规定要求填写</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黄金</w:t>
            </w:r>
            <w:r>
              <w:rPr>
                <w:rFonts w:hint="eastAsia" w:ascii="仿宋" w:hAnsi="仿宋" w:eastAsia="仿宋"/>
                <w:color w:val="000000"/>
                <w:sz w:val="22"/>
              </w:rPr>
              <w:t>制品</w:t>
            </w:r>
            <w:r>
              <w:rPr>
                <w:rFonts w:ascii="仿宋" w:hAnsi="仿宋" w:eastAsia="仿宋"/>
                <w:color w:val="000000"/>
                <w:sz w:val="22"/>
              </w:rPr>
              <w:t>进出口合同</w:t>
            </w:r>
            <w:r>
              <w:rPr>
                <w:rFonts w:hint="eastAsia" w:ascii="仿宋" w:hAnsi="仿宋" w:eastAsia="仿宋"/>
                <w:color w:val="000000"/>
                <w:sz w:val="22"/>
              </w:rPr>
              <w:t>（或交易记录）</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lang w:eastAsia="zh-CN"/>
              </w:rPr>
              <w:t>原</w:t>
            </w:r>
            <w:r>
              <w:rPr>
                <w:rFonts w:hint="eastAsia"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包括进出口黄金</w:t>
            </w:r>
            <w:r>
              <w:rPr>
                <w:rFonts w:hint="eastAsia" w:ascii="仿宋" w:hAnsi="仿宋" w:eastAsia="仿宋"/>
                <w:color w:val="000000"/>
                <w:sz w:val="22"/>
              </w:rPr>
              <w:t>制品的</w:t>
            </w:r>
            <w:r>
              <w:rPr>
                <w:rFonts w:ascii="仿宋" w:hAnsi="仿宋" w:eastAsia="仿宋"/>
                <w:color w:val="000000"/>
                <w:sz w:val="22"/>
              </w:rPr>
              <w:t>货值、</w:t>
            </w:r>
            <w:r>
              <w:rPr>
                <w:rFonts w:hint="eastAsia" w:ascii="仿宋" w:hAnsi="仿宋" w:eastAsia="仿宋"/>
                <w:color w:val="000000"/>
                <w:sz w:val="22"/>
              </w:rPr>
              <w:t>进出口</w:t>
            </w:r>
            <w:r>
              <w:rPr>
                <w:rFonts w:ascii="仿宋" w:hAnsi="仿宋" w:eastAsia="仿宋"/>
                <w:color w:val="000000"/>
                <w:sz w:val="22"/>
              </w:rPr>
              <w:t>时间、数量等。</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近2年</w:t>
            </w:r>
            <w:r>
              <w:rPr>
                <w:rFonts w:ascii="仿宋" w:hAnsi="仿宋" w:eastAsia="仿宋"/>
                <w:color w:val="000000"/>
                <w:sz w:val="22"/>
              </w:rPr>
              <w:t>无违法行为的</w:t>
            </w:r>
            <w:r>
              <w:rPr>
                <w:rFonts w:hint="eastAsia" w:ascii="仿宋" w:hAnsi="仿宋" w:eastAsia="仿宋"/>
                <w:color w:val="000000"/>
                <w:sz w:val="22"/>
              </w:rPr>
              <w:t>说</w:t>
            </w:r>
            <w:r>
              <w:rPr>
                <w:rFonts w:ascii="仿宋" w:hAnsi="仿宋" w:eastAsia="仿宋"/>
                <w:color w:val="000000"/>
                <w:sz w:val="22"/>
              </w:rPr>
              <w:t>明材料</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应当如实提交有关材料和反映真实情况，并对申请材料实质内容的真实性负责。</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污染物排放许可证件和年度达标检测报告</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lang w:eastAsia="zh-CN"/>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ascii="仿宋" w:hAnsi="仿宋" w:eastAsia="仿宋"/>
                <w:color w:val="000000"/>
                <w:sz w:val="22"/>
              </w:rPr>
              <w:t>省级或地市级环境保护</w:t>
            </w:r>
            <w:r>
              <w:rPr>
                <w:rFonts w:hint="eastAsia" w:ascii="仿宋" w:hAnsi="仿宋" w:eastAsia="仿宋"/>
                <w:color w:val="000000"/>
                <w:sz w:val="22"/>
              </w:rPr>
              <w:t>部门出具的文件</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近3年</w:t>
            </w:r>
            <w:r>
              <w:rPr>
                <w:rFonts w:ascii="仿宋" w:hAnsi="仿宋" w:eastAsia="仿宋"/>
                <w:color w:val="000000"/>
                <w:sz w:val="22"/>
              </w:rPr>
              <w:t>纳税记录</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复印件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各种税收总额。代缴税款的银行开出的电子缴税付款凭证。税务机关开具的纳税发票</w:t>
            </w:r>
            <w:r>
              <w:rPr>
                <w:rFonts w:hint="eastAsia" w:ascii="仿宋" w:hAnsi="仿宋" w:eastAsia="仿宋"/>
                <w:color w:val="000000"/>
                <w:sz w:val="22"/>
              </w:rPr>
              <w:t>、完税证明等</w:t>
            </w:r>
            <w:r>
              <w:rPr>
                <w:rFonts w:ascii="仿宋" w:hAnsi="仿宋" w:eastAsia="仿宋"/>
                <w:color w:val="000000"/>
                <w:sz w:val="22"/>
              </w:rPr>
              <w:t>。</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税务机关开具的证明文件，需加盖申请人单位公章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7</w:t>
            </w:r>
          </w:p>
        </w:tc>
        <w:tc>
          <w:tcPr>
            <w:tcW w:w="1095" w:type="dxa"/>
            <w:tcBorders>
              <w:top w:val="single" w:color="000000" w:sz="4" w:space="0"/>
              <w:left w:val="single" w:color="000000" w:sz="4" w:space="0"/>
              <w:right w:val="single" w:color="000000" w:sz="4" w:space="0"/>
            </w:tcBorders>
            <w:noWrap w:val="0"/>
            <w:vAlign w:val="center"/>
          </w:tcPr>
          <w:p>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对外贸易经营者备案材料</w:t>
            </w:r>
          </w:p>
        </w:tc>
        <w:tc>
          <w:tcPr>
            <w:tcW w:w="715"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lang w:eastAsia="zh-CN"/>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《对外贸易经营者备案表》或《外商投资企业批准证书》等</w:t>
            </w:r>
          </w:p>
        </w:tc>
        <w:tc>
          <w:tcPr>
            <w:tcW w:w="113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加盖备案登记章，</w:t>
            </w: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8</w:t>
            </w:r>
          </w:p>
        </w:tc>
        <w:tc>
          <w:tcPr>
            <w:tcW w:w="1095"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其他证明材料</w:t>
            </w:r>
          </w:p>
        </w:tc>
        <w:tc>
          <w:tcPr>
            <w:tcW w:w="715"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lang w:eastAsia="zh-CN"/>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从事外贸经营的企业提交适用海关认证企业管理的有关证明材料；教育机构、科学研究机构提交承担国家科研项目、重点课题证明材料。</w:t>
            </w:r>
          </w:p>
        </w:tc>
        <w:tc>
          <w:tcPr>
            <w:tcW w:w="113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9</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增值税发票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lang w:eastAsia="zh-CN"/>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出口黄金制品的企业提交在国内取得黄金原料的增值税发票等有关证明材料。</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黄金制品出口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税务机关开具的纳税发票，需加盖申请人单位公章</w:t>
            </w:r>
          </w:p>
        </w:tc>
      </w:tr>
      <w:tr>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tabs>
                <w:tab w:val="left" w:pos="480"/>
              </w:tabs>
              <w:autoSpaceDN w:val="0"/>
              <w:jc w:val="center"/>
              <w:textAlignment w:val="center"/>
              <w:rPr>
                <w:rFonts w:hint="eastAsia" w:ascii="仿宋" w:hAnsi="仿宋" w:eastAsia="仿宋"/>
                <w:color w:val="000000"/>
                <w:sz w:val="22"/>
              </w:rPr>
            </w:pPr>
            <w:r>
              <w:rPr>
                <w:rFonts w:hint="eastAsia" w:ascii="仿宋" w:hAnsi="仿宋" w:eastAsia="仿宋"/>
                <w:color w:val="000000"/>
                <w:sz w:val="22"/>
              </w:rPr>
              <w:t>转内销的说明材料、加工贸易业务批准证复印件、加工贸易合同</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lang w:eastAsia="zh-CN"/>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因加工贸易转内销的，应按照《黄金及黄金制品进出口管理办法》第十一条规定报送</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olor w:val="000000"/>
                <w:sz w:val="22"/>
              </w:rPr>
            </w:pPr>
            <w:r>
              <w:rPr>
                <w:rFonts w:hint="eastAsia" w:ascii="仿宋" w:hAnsi="仿宋" w:eastAsia="仿宋"/>
                <w:color w:val="000000"/>
                <w:sz w:val="22"/>
              </w:rPr>
              <w:t>黄金制品进口</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bl>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申请人可向受理机构货币金银</w:t>
      </w:r>
      <w:r>
        <w:rPr>
          <w:rFonts w:hint="eastAsia" w:ascii="仿宋_GB2312" w:hAnsi="仿宋_GB2312" w:eastAsia="仿宋_GB2312" w:cs="仿宋_GB2312"/>
          <w:sz w:val="30"/>
          <w:szCs w:val="30"/>
          <w:lang w:eastAsia="zh-CN"/>
        </w:rPr>
        <w:t>部门</w:t>
      </w:r>
      <w:r>
        <w:rPr>
          <w:rFonts w:hint="eastAsia" w:ascii="仿宋_GB2312" w:hAnsi="仿宋_GB2312" w:eastAsia="仿宋_GB2312" w:cs="仿宋_GB2312"/>
          <w:sz w:val="30"/>
          <w:szCs w:val="30"/>
        </w:rPr>
        <w:t>现场提交或以邮寄方式提交上述纸质申请材料，也可通过中国国际贸易“单一窗口”黄金及黄金制品进出口准许证系统（以下简称“单一窗口”系统），网上提交上述纸质申请材料扫描后的PDF格式文件。</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十一、申请接收</w:t>
      </w:r>
    </w:p>
    <w:p>
      <w:pPr>
        <w:ind w:left="420" w:left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（一）现场或信函接收</w:t>
      </w:r>
    </w:p>
    <w:p>
      <w:pPr>
        <w:ind w:firstLine="6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黄金制品进出口申请材料由中国人民银行</w:t>
      </w:r>
      <w:r>
        <w:rPr>
          <w:rFonts w:hint="eastAsia" w:ascii="仿宋_GB2312" w:hAnsi="仿宋_GB2312" w:eastAsia="仿宋_GB2312" w:cs="仿宋_GB2312"/>
          <w:sz w:val="30"/>
          <w:szCs w:val="30"/>
          <w:lang w:eastAsia="zh-CN"/>
        </w:rPr>
        <w:t>湖南省分行和人民银行湖南省内地市分行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部门</w:t>
      </w:r>
      <w:r>
        <w:rPr>
          <w:rFonts w:hint="eastAsia" w:ascii="仿宋_GB2312" w:hAnsi="仿宋_GB2312" w:eastAsia="仿宋_GB2312" w:cs="仿宋_GB2312"/>
          <w:sz w:val="30"/>
          <w:szCs w:val="30"/>
        </w:rPr>
        <w:t>现场或信函接收。</w:t>
      </w:r>
    </w:p>
    <w:p>
      <w:pPr>
        <w:ind w:firstLine="6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中国人民银行湖南省分行</w:t>
      </w:r>
      <w:r>
        <w:rPr>
          <w:rFonts w:hint="eastAsia" w:ascii="仿宋_GB2312" w:hAnsi="仿宋_GB2312" w:eastAsia="仿宋_GB2312" w:cs="仿宋_GB2312"/>
          <w:b w:val="0"/>
          <w:bCs w:val="0"/>
          <w:color w:val="000000" w:themeColor="text1"/>
          <w:sz w:val="30"/>
          <w:szCs w:val="30"/>
          <w14:textFill>
            <w14:solidFill>
              <w14:schemeClr w14:val="tx1"/>
            </w14:solidFill>
          </w14:textFill>
        </w:rPr>
        <w:t>接收地址：</w:t>
      </w:r>
      <w:r>
        <w:rPr>
          <w:rFonts w:hint="eastAsia" w:ascii="仿宋_GB2312" w:hAnsi="仿宋_GB2312" w:eastAsia="仿宋_GB2312" w:cs="仿宋_GB2312"/>
          <w:sz w:val="30"/>
          <w:szCs w:val="30"/>
          <w:lang w:eastAsia="zh-CN"/>
        </w:rPr>
        <w:t>长沙市开福区捞刀河镇白霞村郭家冲路</w:t>
      </w:r>
      <w:r>
        <w:rPr>
          <w:rFonts w:hint="eastAsia" w:ascii="仿宋_GB2312" w:hAnsi="仿宋_GB2312" w:eastAsia="仿宋_GB2312" w:cs="仿宋_GB2312"/>
          <w:sz w:val="30"/>
          <w:szCs w:val="30"/>
          <w:lang w:val="en-US" w:eastAsia="zh-CN"/>
        </w:rPr>
        <w:t>1号602办，</w:t>
      </w: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lang w:val="en-US" w:eastAsia="zh-CN"/>
        </w:rPr>
        <w:t>410005</w:t>
      </w:r>
      <w:r>
        <w:rPr>
          <w:rFonts w:hint="eastAsia" w:ascii="仿宋_GB2312" w:hAnsi="仿宋_GB2312" w:eastAsia="仿宋_GB2312" w:cs="仿宋_GB2312"/>
          <w:sz w:val="30"/>
          <w:szCs w:val="30"/>
        </w:rPr>
        <w:t>。</w:t>
      </w:r>
    </w:p>
    <w:p>
      <w:pPr>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eastAsia="仿宋_GB2312"/>
          <w:sz w:val="30"/>
          <w:szCs w:val="28"/>
        </w:rPr>
        <w:t>中国人民银行</w:t>
      </w:r>
      <w:r>
        <w:rPr>
          <w:rFonts w:hint="eastAsia" w:ascii="仿宋_GB2312" w:eastAsia="仿宋_GB2312"/>
          <w:sz w:val="30"/>
          <w:szCs w:val="28"/>
          <w:lang w:eastAsia="zh-CN"/>
        </w:rPr>
        <w:t>湖南</w:t>
      </w:r>
      <w:r>
        <w:rPr>
          <w:rFonts w:hint="eastAsia" w:ascii="仿宋_GB2312" w:eastAsia="仿宋_GB2312"/>
          <w:sz w:val="30"/>
          <w:szCs w:val="28"/>
        </w:rPr>
        <w:t>省内</w:t>
      </w:r>
      <w:r>
        <w:rPr>
          <w:rFonts w:hint="eastAsia" w:ascii="仿宋_GB2312" w:eastAsia="仿宋_GB2312"/>
          <w:sz w:val="30"/>
          <w:szCs w:val="28"/>
          <w:lang w:eastAsia="zh-CN"/>
        </w:rPr>
        <w:t>地市分行</w:t>
      </w:r>
      <w:r>
        <w:rPr>
          <w:rFonts w:hint="eastAsia" w:ascii="仿宋_GB2312" w:eastAsia="仿宋_GB2312"/>
          <w:sz w:val="30"/>
          <w:szCs w:val="28"/>
        </w:rPr>
        <w:t>具体</w:t>
      </w:r>
      <w:r>
        <w:rPr>
          <w:rFonts w:hint="eastAsia" w:ascii="仿宋_GB2312" w:eastAsia="仿宋_GB2312"/>
          <w:sz w:val="30"/>
          <w:szCs w:val="28"/>
          <w:lang w:eastAsia="zh-CN"/>
        </w:rPr>
        <w:t>接收</w:t>
      </w:r>
      <w:r>
        <w:rPr>
          <w:rFonts w:hint="eastAsia" w:ascii="仿宋_GB2312" w:eastAsia="仿宋_GB2312"/>
          <w:sz w:val="30"/>
          <w:szCs w:val="28"/>
        </w:rPr>
        <w:t>途径可与中国人民银行</w:t>
      </w:r>
      <w:r>
        <w:rPr>
          <w:rFonts w:hint="eastAsia" w:ascii="仿宋_GB2312" w:eastAsia="仿宋_GB2312"/>
          <w:sz w:val="30"/>
          <w:szCs w:val="28"/>
          <w:lang w:eastAsia="zh-CN"/>
        </w:rPr>
        <w:t>湖南</w:t>
      </w:r>
      <w:r>
        <w:rPr>
          <w:rFonts w:hint="eastAsia" w:ascii="仿宋_GB2312" w:eastAsia="仿宋_GB2312"/>
          <w:sz w:val="30"/>
          <w:szCs w:val="28"/>
        </w:rPr>
        <w:t>省内地市</w:t>
      </w:r>
      <w:r>
        <w:rPr>
          <w:rFonts w:hint="eastAsia" w:ascii="仿宋_GB2312" w:eastAsia="仿宋_GB2312"/>
          <w:sz w:val="30"/>
          <w:szCs w:val="28"/>
          <w:lang w:eastAsia="zh-CN"/>
        </w:rPr>
        <w:t>分行</w:t>
      </w:r>
      <w:r>
        <w:rPr>
          <w:rFonts w:hint="eastAsia" w:ascii="仿宋_GB2312" w:eastAsia="仿宋_GB2312"/>
          <w:sz w:val="30"/>
          <w:szCs w:val="28"/>
        </w:rPr>
        <w:t>联系。</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（二）网上接收</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理机构通过“单一窗口”系统http://www.singlewindow.cn网上接收黄金制品进出口申请材料。网上申请和相关查询功能的操作详见“单一窗口”系统公示栏的《“单一窗口”标准版用户手册（黄金及黄金制品进出口准许证）》。</w:t>
      </w:r>
    </w:p>
    <w:p>
      <w:pPr>
        <w:ind w:firstLine="600" w:firstLineChars="200"/>
        <w:jc w:val="left"/>
        <w:rPr>
          <w:rFonts w:hint="eastAsia" w:ascii="仿宋_GB2312" w:hAnsi="仿宋_GB2312" w:eastAsia="仿宋_GB2312" w:cs="仿宋_GB2312"/>
          <w:sz w:val="30"/>
          <w:szCs w:val="30"/>
        </w:rPr>
      </w:pPr>
      <w:r>
        <w:rPr>
          <w:rFonts w:hint="eastAsia" w:ascii="黑体" w:hAnsi="黑体" w:eastAsia="黑体" w:cs="黑体"/>
          <w:b w:val="0"/>
          <w:bCs w:val="0"/>
          <w:sz w:val="30"/>
          <w:szCs w:val="30"/>
        </w:rPr>
        <w:t>十二、办理基本流程</w:t>
      </w:r>
    </w:p>
    <w:p>
      <w:pPr>
        <w:widowControl/>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详见本服务指南附录1。</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十三、办理方式</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初次办理行政审批的办理方式为一般程序，包括申请、受理、审查与决定、文书制作与送达、结果公开。</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十四、办理时限</w:t>
      </w:r>
    </w:p>
    <w:p>
      <w:pPr>
        <w:ind w:firstLine="600"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应当自受理之日起二十个工作日内做出行政许可决定。</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十五、收费依据及标准</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不收费。</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十六、审批结果</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《准予行政许可决定书》</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中国人民银行</w:t>
      </w:r>
      <w:r>
        <w:rPr>
          <w:rFonts w:hint="eastAsia" w:ascii="仿宋_GB2312" w:hAnsi="仿宋_GB2312" w:eastAsia="仿宋_GB2312" w:cs="仿宋_GB2312"/>
          <w:sz w:val="30"/>
          <w:szCs w:val="30"/>
        </w:rPr>
        <w:t>黄金及黄金制品进出口准许证》</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《不予行政许可决定书》</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十七、结果送达</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自作出决定之日起</w:t>
      </w:r>
      <w:r>
        <w:rPr>
          <w:rFonts w:hint="eastAsia" w:ascii="仿宋_GB2312" w:eastAsia="仿宋_GB2312"/>
          <w:sz w:val="32"/>
        </w:rPr>
        <w:t>十</w:t>
      </w:r>
      <w:r>
        <w:rPr>
          <w:rFonts w:hint="eastAsia" w:ascii="仿宋_GB2312" w:hAnsi="仿宋_GB2312" w:eastAsia="仿宋_GB2312" w:cs="仿宋_GB2312"/>
          <w:sz w:val="30"/>
          <w:szCs w:val="30"/>
        </w:rPr>
        <w:t>个工作日内向申请人送达《准予行政许可决定书》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《中国人民银行黄金及黄金制品进出口准许证》</w:t>
      </w:r>
      <w:r>
        <w:rPr>
          <w:rFonts w:hint="eastAsia" w:ascii="仿宋_GB2312" w:hAnsi="仿宋_GB2312" w:eastAsia="仿宋_GB2312" w:cs="仿宋_GB2312"/>
          <w:sz w:val="30"/>
          <w:szCs w:val="30"/>
          <w:lang w:eastAsia="zh-CN"/>
        </w:rPr>
        <w:t>或</w:t>
      </w:r>
      <w:r>
        <w:rPr>
          <w:rFonts w:hint="eastAsia" w:ascii="仿宋_GB2312" w:hAnsi="仿宋_GB2312" w:eastAsia="仿宋_GB2312" w:cs="仿宋_GB2312"/>
          <w:sz w:val="30"/>
          <w:szCs w:val="30"/>
        </w:rPr>
        <w:t>《不予行政许可决定书》。</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对于受理、不受理、不予受理或者要求补正申请材料的通知应当及时告知申请人并向申请人说明情况。</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十八、行政相对人权利和义务</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（一）依据《中国人民银行行政许可实施办法》，申请人享有以下权利：</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1.委托代理人提出行政许可申请。</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2.要求对公示内容予以说明、解释。</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3.就行政许可审查进行陈述、申辩、听证。</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（二）依据《中国人民银行行政许可实施办法》，申请人依法履行以下义务：</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1.申请人申请行政许可，应当如实向行政机关提交有关材料和反映真实情况，并对其申请材料实质内容的真实性负责。</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依法对被许可人从事行政许可事项的活动进行监督检查时，可以要求被许可人提供从事行政许可事项活动情况的有关材料，有权对被许可人从事行政许可事项的活动进行现场检查。</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十九、咨询途径</w:t>
      </w:r>
    </w:p>
    <w:p>
      <w:pPr>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窗口咨询：中国人民银行</w:t>
      </w:r>
      <w:r>
        <w:rPr>
          <w:rFonts w:hint="eastAsia" w:ascii="仿宋_GB2312" w:hAnsi="仿宋_GB2312" w:eastAsia="仿宋_GB2312" w:cs="仿宋_GB2312"/>
          <w:b w:val="0"/>
          <w:bCs w:val="0"/>
          <w:sz w:val="30"/>
          <w:szCs w:val="30"/>
          <w:lang w:eastAsia="zh-CN"/>
        </w:rPr>
        <w:t>湖南省分行二办</w:t>
      </w:r>
      <w:r>
        <w:rPr>
          <w:rFonts w:hint="eastAsia" w:ascii="仿宋_GB2312" w:hAnsi="仿宋_GB2312" w:eastAsia="仿宋_GB2312" w:cs="仿宋_GB2312"/>
          <w:b w:val="0"/>
          <w:bCs w:val="0"/>
          <w:sz w:val="30"/>
          <w:szCs w:val="30"/>
        </w:rPr>
        <w:t>，地址：</w:t>
      </w:r>
      <w:r>
        <w:rPr>
          <w:rFonts w:hint="eastAsia" w:ascii="仿宋_GB2312" w:hAnsi="仿宋_GB2312" w:eastAsia="仿宋_GB2312" w:cs="仿宋_GB2312"/>
          <w:b w:val="0"/>
          <w:bCs w:val="0"/>
          <w:sz w:val="30"/>
          <w:szCs w:val="30"/>
          <w:lang w:eastAsia="zh-CN"/>
        </w:rPr>
        <w:t>长沙市开福区捞刀河镇白霞村郭家冲路</w:t>
      </w:r>
      <w:r>
        <w:rPr>
          <w:rFonts w:hint="eastAsia" w:ascii="仿宋_GB2312" w:hAnsi="仿宋_GB2312" w:eastAsia="仿宋_GB2312" w:cs="仿宋_GB2312"/>
          <w:b w:val="0"/>
          <w:bCs w:val="0"/>
          <w:sz w:val="30"/>
          <w:szCs w:val="30"/>
          <w:lang w:val="en-US" w:eastAsia="zh-CN"/>
        </w:rPr>
        <w:t>1号602办办公楼301办公室</w:t>
      </w:r>
      <w:r>
        <w:rPr>
          <w:rFonts w:hint="eastAsia" w:ascii="仿宋_GB2312" w:hAnsi="仿宋_GB2312" w:eastAsia="仿宋_GB2312" w:cs="仿宋_GB2312"/>
          <w:b w:val="0"/>
          <w:bCs w:val="0"/>
          <w:sz w:val="30"/>
          <w:szCs w:val="30"/>
        </w:rPr>
        <w:t>。</w:t>
      </w:r>
    </w:p>
    <w:p>
      <w:pPr>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电话咨询：</w:t>
      </w:r>
      <w:r>
        <w:rPr>
          <w:rFonts w:hint="eastAsia" w:ascii="仿宋_GB2312" w:hAnsi="仿宋_GB2312" w:eastAsia="仿宋_GB2312" w:cs="仿宋_GB2312"/>
          <w:b w:val="0"/>
          <w:bCs w:val="0"/>
          <w:sz w:val="30"/>
          <w:szCs w:val="30"/>
          <w:lang w:val="en-US" w:eastAsia="zh-CN"/>
        </w:rPr>
        <w:t>0731-89756287</w:t>
      </w:r>
      <w:r>
        <w:rPr>
          <w:rFonts w:hint="eastAsia" w:ascii="仿宋_GB2312" w:hAnsi="仿宋_GB2312" w:eastAsia="仿宋_GB2312" w:cs="仿宋_GB2312"/>
          <w:b w:val="0"/>
          <w:bCs w:val="0"/>
          <w:sz w:val="30"/>
          <w:szCs w:val="30"/>
        </w:rPr>
        <w:t xml:space="preserve">   联系人：</w:t>
      </w:r>
      <w:r>
        <w:rPr>
          <w:rFonts w:hint="eastAsia" w:ascii="仿宋_GB2312" w:hAnsi="仿宋_GB2312" w:eastAsia="仿宋_GB2312" w:cs="仿宋_GB2312"/>
          <w:b w:val="0"/>
          <w:bCs w:val="0"/>
          <w:sz w:val="30"/>
          <w:szCs w:val="30"/>
          <w:lang w:eastAsia="zh-CN"/>
        </w:rPr>
        <w:t>孙佳成、黄玺</w:t>
      </w:r>
    </w:p>
    <w:p>
      <w:pPr>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eastAsia="仿宋_GB2312"/>
          <w:sz w:val="30"/>
          <w:szCs w:val="28"/>
        </w:rPr>
        <w:t>中国人民银行</w:t>
      </w:r>
      <w:r>
        <w:rPr>
          <w:rFonts w:hint="eastAsia" w:ascii="仿宋_GB2312" w:eastAsia="仿宋_GB2312"/>
          <w:sz w:val="30"/>
          <w:szCs w:val="28"/>
          <w:lang w:eastAsia="zh-CN"/>
        </w:rPr>
        <w:t>湖南</w:t>
      </w:r>
      <w:r>
        <w:rPr>
          <w:rFonts w:hint="eastAsia" w:ascii="仿宋_GB2312" w:eastAsia="仿宋_GB2312"/>
          <w:sz w:val="30"/>
          <w:szCs w:val="28"/>
        </w:rPr>
        <w:t>省内</w:t>
      </w:r>
      <w:r>
        <w:rPr>
          <w:rFonts w:hint="eastAsia" w:ascii="仿宋_GB2312" w:eastAsia="仿宋_GB2312"/>
          <w:sz w:val="30"/>
          <w:szCs w:val="28"/>
          <w:lang w:eastAsia="zh-CN"/>
        </w:rPr>
        <w:t>地市分行</w:t>
      </w:r>
      <w:r>
        <w:rPr>
          <w:rFonts w:hint="eastAsia" w:ascii="仿宋_GB2312" w:eastAsia="仿宋_GB2312"/>
          <w:sz w:val="30"/>
          <w:szCs w:val="28"/>
        </w:rPr>
        <w:t>具体咨询途径可与中国人民银行</w:t>
      </w:r>
      <w:r>
        <w:rPr>
          <w:rFonts w:hint="eastAsia" w:ascii="仿宋_GB2312" w:eastAsia="仿宋_GB2312"/>
          <w:sz w:val="30"/>
          <w:szCs w:val="28"/>
          <w:lang w:eastAsia="zh-CN"/>
        </w:rPr>
        <w:t>湖南</w:t>
      </w:r>
      <w:r>
        <w:rPr>
          <w:rFonts w:hint="eastAsia" w:ascii="仿宋_GB2312" w:eastAsia="仿宋_GB2312"/>
          <w:sz w:val="30"/>
          <w:szCs w:val="28"/>
        </w:rPr>
        <w:t>省内地市</w:t>
      </w:r>
      <w:r>
        <w:rPr>
          <w:rFonts w:hint="eastAsia" w:ascii="仿宋_GB2312" w:eastAsia="仿宋_GB2312"/>
          <w:sz w:val="30"/>
          <w:szCs w:val="28"/>
          <w:lang w:eastAsia="zh-CN"/>
        </w:rPr>
        <w:t>分行</w:t>
      </w:r>
      <w:r>
        <w:rPr>
          <w:rFonts w:hint="eastAsia" w:ascii="仿宋_GB2312" w:eastAsia="仿宋_GB2312"/>
          <w:sz w:val="30"/>
          <w:szCs w:val="28"/>
        </w:rPr>
        <w:t>联系。</w:t>
      </w:r>
    </w:p>
    <w:p>
      <w:pPr>
        <w:ind w:firstLine="600" w:firstLineChars="200"/>
        <w:jc w:val="left"/>
        <w:rPr>
          <w:rFonts w:hint="eastAsia" w:ascii="黑体" w:hAnsi="黑体" w:eastAsia="黑体" w:cs="黑体"/>
          <w:b w:val="0"/>
          <w:bCs w:val="0"/>
          <w:sz w:val="30"/>
          <w:szCs w:val="30"/>
        </w:rPr>
      </w:pPr>
      <w:r>
        <w:rPr>
          <w:rFonts w:hint="eastAsia" w:ascii="黑体" w:hAnsi="黑体" w:eastAsia="黑体" w:cs="黑体"/>
          <w:b w:val="0"/>
          <w:bCs w:val="0"/>
          <w:sz w:val="30"/>
          <w:szCs w:val="30"/>
        </w:rPr>
        <w:t>二十、监督投诉渠道</w:t>
      </w:r>
    </w:p>
    <w:p>
      <w:pPr>
        <w:ind w:firstLine="600" w:firstLineChars="200"/>
        <w:jc w:val="left"/>
        <w:rPr>
          <w:rFonts w:hint="eastAsia" w:ascii="仿宋_GB2312" w:eastAsia="仿宋_GB2312"/>
          <w:sz w:val="30"/>
          <w:szCs w:val="28"/>
        </w:rPr>
      </w:pPr>
      <w:r>
        <w:rPr>
          <w:rFonts w:hint="eastAsia" w:ascii="仿宋_GB2312" w:eastAsia="仿宋_GB2312"/>
          <w:sz w:val="30"/>
          <w:szCs w:val="28"/>
        </w:rPr>
        <w:t>中国人民银行</w:t>
      </w:r>
      <w:r>
        <w:rPr>
          <w:rFonts w:hint="eastAsia" w:ascii="仿宋_GB2312" w:eastAsia="仿宋_GB2312"/>
          <w:sz w:val="30"/>
          <w:szCs w:val="28"/>
          <w:lang w:eastAsia="zh-CN"/>
        </w:rPr>
        <w:t>湖南省分行</w:t>
      </w:r>
      <w:r>
        <w:rPr>
          <w:rFonts w:hint="eastAsia" w:ascii="仿宋_GB2312" w:eastAsia="仿宋_GB2312"/>
          <w:sz w:val="30"/>
          <w:szCs w:val="28"/>
        </w:rPr>
        <w:t>法律事务部门对本行办理的行政许可事项进行监督检查。</w:t>
      </w:r>
    </w:p>
    <w:p>
      <w:pPr>
        <w:ind w:firstLine="600" w:firstLineChars="200"/>
        <w:jc w:val="left"/>
        <w:rPr>
          <w:rFonts w:hint="eastAsia" w:ascii="仿宋_GB2312" w:eastAsia="仿宋_GB2312"/>
          <w:sz w:val="30"/>
          <w:szCs w:val="28"/>
        </w:rPr>
      </w:pPr>
      <w:r>
        <w:rPr>
          <w:rFonts w:hint="eastAsia" w:ascii="仿宋_GB2312" w:eastAsia="仿宋_GB2312"/>
          <w:sz w:val="30"/>
          <w:szCs w:val="28"/>
        </w:rPr>
        <w:t>信函投诉：中国人民银行</w:t>
      </w:r>
      <w:r>
        <w:rPr>
          <w:rFonts w:hint="eastAsia" w:ascii="仿宋_GB2312" w:eastAsia="仿宋_GB2312"/>
          <w:sz w:val="30"/>
          <w:szCs w:val="28"/>
          <w:lang w:eastAsia="zh-CN"/>
        </w:rPr>
        <w:t>湖南省分行</w:t>
      </w:r>
      <w:r>
        <w:rPr>
          <w:rFonts w:hint="eastAsia" w:ascii="仿宋_GB2312" w:eastAsia="仿宋_GB2312"/>
          <w:sz w:val="30"/>
          <w:szCs w:val="28"/>
        </w:rPr>
        <w:t>法律事务处</w:t>
      </w:r>
    </w:p>
    <w:p>
      <w:pPr>
        <w:ind w:firstLine="600" w:firstLineChars="200"/>
        <w:jc w:val="left"/>
        <w:rPr>
          <w:rFonts w:hint="eastAsia" w:ascii="仿宋_GB2312" w:eastAsia="仿宋_GB2312"/>
          <w:sz w:val="30"/>
          <w:szCs w:val="28"/>
          <w:lang w:val="en-US" w:eastAsia="zh-CN"/>
        </w:rPr>
      </w:pPr>
      <w:r>
        <w:rPr>
          <w:rFonts w:hint="eastAsia" w:ascii="仿宋_GB2312" w:eastAsia="仿宋_GB2312"/>
          <w:sz w:val="30"/>
          <w:szCs w:val="28"/>
        </w:rPr>
        <w:t>通讯地址：</w:t>
      </w:r>
      <w:r>
        <w:rPr>
          <w:rFonts w:hint="eastAsia" w:ascii="仿宋_GB2312" w:eastAsia="仿宋_GB2312"/>
          <w:sz w:val="30"/>
          <w:szCs w:val="28"/>
          <w:lang w:eastAsia="zh-CN"/>
        </w:rPr>
        <w:t>长沙市芙蓉区蔡锷中路</w:t>
      </w:r>
      <w:r>
        <w:rPr>
          <w:rFonts w:hint="eastAsia" w:ascii="仿宋_GB2312" w:eastAsia="仿宋_GB2312"/>
          <w:sz w:val="30"/>
          <w:szCs w:val="28"/>
          <w:lang w:val="en-US" w:eastAsia="zh-CN"/>
        </w:rPr>
        <w:t>2号</w:t>
      </w:r>
      <w:r>
        <w:rPr>
          <w:rFonts w:hint="eastAsia" w:ascii="仿宋_GB2312" w:eastAsia="仿宋_GB2312"/>
          <w:sz w:val="30"/>
          <w:szCs w:val="28"/>
        </w:rPr>
        <w:t xml:space="preserve"> </w:t>
      </w:r>
      <w:r>
        <w:rPr>
          <w:rFonts w:hint="eastAsia" w:ascii="仿宋_GB2312" w:eastAsia="仿宋_GB2312"/>
          <w:sz w:val="30"/>
          <w:szCs w:val="28"/>
          <w:lang w:val="en-US" w:eastAsia="zh-CN"/>
        </w:rPr>
        <w:t xml:space="preserve"> 邮政编码：410005</w:t>
      </w:r>
    </w:p>
    <w:p>
      <w:pPr>
        <w:ind w:firstLine="600" w:firstLineChars="200"/>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二十一、办公地址和时间</w:t>
      </w:r>
    </w:p>
    <w:p>
      <w:pPr>
        <w:ind w:firstLine="600" w:firstLineChars="200"/>
        <w:jc w:val="left"/>
        <w:rPr>
          <w:rFonts w:hint="eastAsia" w:ascii="仿宋_GB2312" w:eastAsia="仿宋_GB2312"/>
          <w:sz w:val="30"/>
          <w:szCs w:val="28"/>
          <w:lang w:val="en-US" w:eastAsia="zh-CN"/>
        </w:rPr>
      </w:pPr>
      <w:r>
        <w:rPr>
          <w:rFonts w:hint="eastAsia" w:ascii="仿宋_GB2312" w:eastAsia="仿宋_GB2312"/>
          <w:sz w:val="30"/>
          <w:szCs w:val="28"/>
          <w:lang w:val="en-US" w:eastAsia="zh-CN"/>
        </w:rPr>
        <w:t>（一）办公时间</w:t>
      </w:r>
    </w:p>
    <w:p>
      <w:pPr>
        <w:ind w:firstLine="600" w:firstLineChars="200"/>
        <w:jc w:val="left"/>
        <w:rPr>
          <w:rFonts w:hint="eastAsia" w:ascii="仿宋_GB2312" w:eastAsia="仿宋_GB2312"/>
          <w:sz w:val="30"/>
          <w:szCs w:val="28"/>
          <w:lang w:val="en-US" w:eastAsia="zh-CN"/>
        </w:rPr>
      </w:pPr>
      <w:r>
        <w:rPr>
          <w:rFonts w:hint="eastAsia" w:ascii="仿宋_GB2312" w:eastAsia="仿宋_GB2312"/>
          <w:sz w:val="30"/>
          <w:szCs w:val="28"/>
          <w:lang w:val="en-US" w:eastAsia="zh-CN"/>
        </w:rPr>
        <w:t>周一至周五工作时间（8:30-12:00,14:00-17:00），国家法定节假日除外。</w:t>
      </w:r>
    </w:p>
    <w:p>
      <w:pPr>
        <w:ind w:firstLine="600" w:firstLineChars="200"/>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二十二、办理进程和结果公开查询</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采用现场或信函申请方式的，自受理之日起二十个工作日内，可通过电话等方式查询审批状态和结果。</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采用线上申请方式的，可通过“单一窗口”系统查询办理进</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程和结果。</w:t>
      </w: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流程图</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申请材料示范文本</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常见错误示例</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常见问题回答</w:t>
      </w:r>
    </w:p>
    <w:p>
      <w:pPr>
        <w:jc w:val="left"/>
        <w:rPr>
          <w:rFonts w:hint="eastAsia" w:ascii="仿宋_GB2312" w:hAnsi="仿宋_GB2312" w:eastAsia="仿宋_GB2312" w:cs="仿宋_GB2312"/>
          <w:sz w:val="30"/>
          <w:szCs w:val="30"/>
        </w:rPr>
        <w:sectPr>
          <w:footerReference r:id="rId3" w:type="default"/>
          <w:endnotePr>
            <w:numFmt w:val="decimal"/>
          </w:endnotePr>
          <w:pgSz w:w="11906" w:h="16838"/>
          <w:pgMar w:top="1440" w:right="1800" w:bottom="1440" w:left="1800" w:header="851" w:footer="992" w:gutter="0"/>
          <w:pgNumType w:fmt="decimalFullWidth"/>
          <w:cols w:space="720" w:num="1"/>
          <w:docGrid w:type="lines" w:linePitch="312" w:charSpace="0"/>
        </w:sectPr>
      </w:pPr>
      <w:r>
        <w:rPr>
          <w:rFonts w:hint="eastAsia" w:ascii="仿宋_GB2312" w:hAnsi="仿宋_GB2312" w:eastAsia="仿宋_GB2312" w:cs="仿宋_GB2312"/>
          <w:sz w:val="30"/>
          <w:szCs w:val="30"/>
        </w:rPr>
        <w:t xml:space="preserve">    </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附录1</w:t>
      </w:r>
    </w:p>
    <w:p>
      <w:pPr>
        <w:ind w:firstLine="723" w:firstLineChars="20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pPr>
        <w:ind w:firstLine="420" w:firstLineChars="200"/>
        <w:jc w:val="left"/>
        <w:rPr>
          <w:rFonts w:hint="eastAsia" w:ascii="仿宋_GB2312" w:hAnsi="仿宋_GB2312" w:eastAsia="仿宋_GB2312" w:cs="仿宋_GB2312"/>
          <w:sz w:val="30"/>
          <w:szCs w:val="30"/>
        </w:rPr>
      </w:pPr>
      <w:r>
        <mc:AlternateContent>
          <mc:Choice Requires="wpg">
            <w:drawing>
              <wp:anchor distT="0" distB="0" distL="114300" distR="114300" simplePos="0" relativeHeight="251663360" behindDoc="0" locked="0" layoutInCell="1" allowOverlap="1">
                <wp:simplePos x="0" y="0"/>
                <wp:positionH relativeFrom="column">
                  <wp:posOffset>115570</wp:posOffset>
                </wp:positionH>
                <wp:positionV relativeFrom="paragraph">
                  <wp:posOffset>108585</wp:posOffset>
                </wp:positionV>
                <wp:extent cx="5585460" cy="7414260"/>
                <wp:effectExtent l="5080" t="4445" r="10160" b="10795"/>
                <wp:wrapNone/>
                <wp:docPr id="55" name="组合 55"/>
                <wp:cNvGraphicFramePr/>
                <a:graphic xmlns:a="http://schemas.openxmlformats.org/drawingml/2006/main">
                  <a:graphicData uri="http://schemas.microsoft.com/office/word/2010/wordprocessingGroup">
                    <wpg:wgp>
                      <wpg:cNvGrpSpPr/>
                      <wpg:grpSpPr>
                        <a:xfrm>
                          <a:off x="0" y="0"/>
                          <a:ext cx="5585460" cy="7414260"/>
                          <a:chOff x="0" y="0"/>
                          <a:chExt cx="8796" cy="11676"/>
                        </a:xfrm>
                      </wpg:grpSpPr>
                      <wps:wsp>
                        <wps:cNvPr id="26" name="直接连接符 26"/>
                        <wps:cNvCnPr/>
                        <wps:spPr>
                          <a:xfrm>
                            <a:off x="3200" y="1924"/>
                            <a:ext cx="1831" cy="1"/>
                          </a:xfrm>
                          <a:prstGeom prst="line">
                            <a:avLst/>
                          </a:prstGeom>
                          <a:ln w="3175" cap="flat" cmpd="sng">
                            <a:solidFill>
                              <a:srgbClr val="000000"/>
                            </a:solidFill>
                            <a:prstDash val="solid"/>
                            <a:headEnd type="none" w="med" len="med"/>
                            <a:tailEnd type="triangle" w="med" len="med"/>
                          </a:ln>
                        </wps:spPr>
                        <wps:bodyPr upright="1"/>
                      </wps:wsp>
                      <wps:wsp>
                        <wps:cNvPr id="27" name="直接连接符 27"/>
                        <wps:cNvCnPr/>
                        <wps:spPr>
                          <a:xfrm>
                            <a:off x="3216" y="2516"/>
                            <a:ext cx="1831" cy="1"/>
                          </a:xfrm>
                          <a:prstGeom prst="line">
                            <a:avLst/>
                          </a:prstGeom>
                          <a:ln w="3175" cap="flat" cmpd="sng">
                            <a:solidFill>
                              <a:srgbClr val="000000"/>
                            </a:solidFill>
                            <a:prstDash val="solid"/>
                            <a:headEnd type="none" w="med" len="med"/>
                            <a:tailEnd type="triangle" w="med" len="med"/>
                          </a:ln>
                        </wps:spPr>
                        <wps:bodyPr upright="1"/>
                      </wps:wsp>
                      <wps:wsp>
                        <wps:cNvPr id="28" name="直接连接符 28"/>
                        <wps:cNvCnPr/>
                        <wps:spPr>
                          <a:xfrm>
                            <a:off x="3216" y="3124"/>
                            <a:ext cx="1831" cy="1"/>
                          </a:xfrm>
                          <a:prstGeom prst="line">
                            <a:avLst/>
                          </a:prstGeom>
                          <a:ln w="3175" cap="flat" cmpd="sng">
                            <a:solidFill>
                              <a:srgbClr val="000000"/>
                            </a:solidFill>
                            <a:prstDash val="solid"/>
                            <a:headEnd type="none" w="med" len="med"/>
                            <a:tailEnd type="triangle" w="med" len="med"/>
                          </a:ln>
                        </wps:spPr>
                        <wps:bodyPr upright="1"/>
                      </wps:wsp>
                      <wpg:grpSp>
                        <wpg:cNvPr id="54" name="组合 54"/>
                        <wpg:cNvGrpSpPr/>
                        <wpg:grpSpPr>
                          <a:xfrm>
                            <a:off x="0" y="0"/>
                            <a:ext cx="8796" cy="11676"/>
                            <a:chOff x="0" y="0"/>
                            <a:chExt cx="8796" cy="11676"/>
                          </a:xfrm>
                        </wpg:grpSpPr>
                        <wps:wsp>
                          <wps:cNvPr id="29" name="文本框 29"/>
                          <wps:cNvSpPr txBox="1"/>
                          <wps:spPr>
                            <a:xfrm>
                              <a:off x="463" y="1855"/>
                              <a:ext cx="2750" cy="1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w:t>
                                </w:r>
                                <w:r>
                                  <w:rPr>
                                    <w:rFonts w:hint="eastAsia" w:ascii="仿宋_GB2312" w:hAnsi="仿宋_GB2312" w:eastAsia="仿宋_GB2312" w:cs="仿宋_GB2312"/>
                                    <w:sz w:val="24"/>
                                  </w:rPr>
                                  <w:t>省内地市级以上分支机构接件，并于5 个工作日内做出审查决定</w:t>
                                </w:r>
                              </w:p>
                            </w:txbxContent>
                          </wps:txbx>
                          <wps:bodyPr lIns="91439" tIns="45719" rIns="91439" bIns="45719" upright="1"/>
                        </wps:wsp>
                        <wps:wsp>
                          <wps:cNvPr id="30" name="文本框 30"/>
                          <wps:cNvSpPr txBox="1"/>
                          <wps:spPr>
                            <a:xfrm>
                              <a:off x="1111" y="4031"/>
                              <a:ext cx="1668" cy="7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受理，并进行审查</w:t>
                                </w:r>
                              </w:p>
                            </w:txbxContent>
                          </wps:txbx>
                          <wps:bodyPr upright="1"/>
                        </wps:wsp>
                        <wps:wsp>
                          <wps:cNvPr id="31" name="文本框 31"/>
                          <wps:cNvSpPr txBox="1"/>
                          <wps:spPr>
                            <a:xfrm>
                              <a:off x="4298" y="5661"/>
                              <a:ext cx="2918" cy="200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w:t>
                                </w:r>
                                <w:r>
                                  <w:rPr>
                                    <w:rFonts w:hint="eastAsia" w:ascii="仿宋_GB2312" w:hAnsi="仿宋_GB2312" w:eastAsia="仿宋_GB2312" w:cs="仿宋_GB2312"/>
                                    <w:sz w:val="24"/>
                                  </w:rPr>
                                  <w:t>省内地市级以上分支机构自受理行政许可申请之日起20 个工作日内将初步审查意见和全部申请材料直接报送上一级机构</w:t>
                                </w:r>
                              </w:p>
                            </w:txbxContent>
                          </wps:txbx>
                          <wps:bodyPr upright="1"/>
                        </wps:wsp>
                        <wps:wsp>
                          <wps:cNvPr id="32" name="文本框 32"/>
                          <wps:cNvSpPr txBox="1"/>
                          <wps:spPr>
                            <a:xfrm>
                              <a:off x="732" y="5622"/>
                              <a:ext cx="2435" cy="21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湖南省分行</w:t>
                                </w:r>
                                <w:r>
                                  <w:rPr>
                                    <w:rFonts w:hint="eastAsia" w:ascii="仿宋_GB2312" w:hAnsi="仿宋_GB2312" w:eastAsia="仿宋_GB2312" w:cs="仿宋_GB2312"/>
                                    <w:sz w:val="24"/>
                                  </w:rPr>
                                  <w:t>自受理之日起20个工作日内做出行政许可决定</w:t>
                                </w:r>
                              </w:p>
                            </w:txbxContent>
                          </wps:txbx>
                          <wps:bodyPr upright="1"/>
                        </wps:wsp>
                        <wps:wsp>
                          <wps:cNvPr id="33" name="文本框 33"/>
                          <wps:cNvSpPr txBox="1"/>
                          <wps:spPr>
                            <a:xfrm>
                              <a:off x="0" y="8479"/>
                              <a:ext cx="3974" cy="17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现场或信函申请的，通知申请人邮寄或现场领取审批结果</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wps:txbx>
                          <wps:bodyPr upright="1"/>
                        </wps:wsp>
                        <wps:wsp>
                          <wps:cNvPr id="34" name="文本框 34"/>
                          <wps:cNvSpPr txBox="1"/>
                          <wps:spPr>
                            <a:xfrm>
                              <a:off x="884" y="10890"/>
                              <a:ext cx="2062"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wps:wsp>
                          <wps:cNvPr id="35" name="文本框 35"/>
                          <wps:cNvSpPr txBox="1"/>
                          <wps:spPr>
                            <a:xfrm>
                              <a:off x="720" y="0"/>
                              <a:ext cx="2511" cy="11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wps:txbx>
                          <wps:bodyPr upright="1"/>
                        </wps:wsp>
                        <wps:wsp>
                          <wps:cNvPr id="36" name="文本框 36"/>
                          <wps:cNvSpPr txBox="1"/>
                          <wps:spPr>
                            <a:xfrm>
                              <a:off x="5425" y="400"/>
                              <a:ext cx="2026"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025" y="1565"/>
                              <a:ext cx="377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wps:txbx>
                          <wps:bodyPr upright="1"/>
                        </wps:wsp>
                        <wps:wsp>
                          <wps:cNvPr id="38" name="文本框 38"/>
                          <wps:cNvSpPr txBox="1"/>
                          <wps:spPr>
                            <a:xfrm>
                              <a:off x="5048" y="2273"/>
                              <a:ext cx="3333"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wps:txbx>
                          <wps:bodyPr upright="1"/>
                        </wps:wsp>
                        <wps:wsp>
                          <wps:cNvPr id="39" name="文本框 39"/>
                          <wps:cNvSpPr txBox="1"/>
                          <wps:spPr>
                            <a:xfrm>
                              <a:off x="5047" y="2905"/>
                              <a:ext cx="3317"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wps:txbx>
                          <wps:bodyPr upright="1"/>
                        </wps:wsp>
                        <wps:wsp>
                          <wps:cNvPr id="40" name="文本框 40"/>
                          <wps:cNvSpPr txBox="1"/>
                          <wps:spPr>
                            <a:xfrm>
                              <a:off x="3374" y="1278"/>
                              <a:ext cx="1436" cy="597"/>
                            </a:xfrm>
                            <a:prstGeom prst="rect">
                              <a:avLst/>
                            </a:prstGeom>
                            <a:noFill/>
                            <a:ln>
                              <a:noFill/>
                            </a:ln>
                          </wps:spPr>
                          <wps:txbx>
                            <w:txbxContent>
                              <w:p>
                                <w:pPr>
                                  <w:spacing w:line="240" w:lineRule="exact"/>
                                  <w:rPr>
                                    <w:rFonts w:hint="eastAsia" w:ascii="仿宋_GB2312" w:hAnsi="仿宋_GB2312" w:eastAsia="仿宋_GB2312"/>
                                    <w:sz w:val="18"/>
                                  </w:rPr>
                                </w:pPr>
                                <w:r>
                                  <w:rPr>
                                    <w:rFonts w:hint="eastAsia" w:ascii="仿宋_GB2312" w:hAnsi="仿宋_GB2312" w:eastAsia="仿宋_GB2312"/>
                                    <w:sz w:val="18"/>
                                  </w:rPr>
                                  <w:t>材料不全、不符合法定形式</w:t>
                                </w:r>
                              </w:p>
                            </w:txbxContent>
                          </wps:txbx>
                          <wps:bodyPr lIns="91439" tIns="45719" rIns="91439" bIns="45719" upright="1"/>
                        </wps:wsp>
                        <wps:wsp>
                          <wps:cNvPr id="41" name="文本框 41"/>
                          <wps:cNvSpPr txBox="1"/>
                          <wps:spPr>
                            <a:xfrm>
                              <a:off x="3350" y="1919"/>
                              <a:ext cx="1436" cy="617"/>
                            </a:xfrm>
                            <a:prstGeom prst="rect">
                              <a:avLst/>
                            </a:prstGeom>
                            <a:noFill/>
                            <a:ln>
                              <a:noFill/>
                            </a:ln>
                          </wps:spPr>
                          <wps:txbx>
                            <w:txbxContent>
                              <w:p>
                                <w:pPr>
                                  <w:spacing w:line="240" w:lineRule="exact"/>
                                  <w:rPr>
                                    <w:rFonts w:hint="eastAsia" w:ascii="仿宋_GB2312" w:hAnsi="仿宋_GB2312" w:eastAsia="仿宋_GB2312"/>
                                    <w:sz w:val="18"/>
                                  </w:rPr>
                                </w:pPr>
                                <w:r>
                                  <w:rPr>
                                    <w:rFonts w:hint="eastAsia" w:ascii="仿宋_GB2312" w:hAnsi="仿宋_GB2312" w:eastAsia="仿宋_GB2312"/>
                                    <w:sz w:val="18"/>
                                  </w:rPr>
                                  <w:t>申请不属于本部门职权范围</w:t>
                                </w:r>
                              </w:p>
                            </w:txbxContent>
                          </wps:txbx>
                          <wps:bodyPr lIns="91439" tIns="45719" rIns="91439" bIns="45719" upright="1"/>
                        </wps:wsp>
                        <wps:wsp>
                          <wps:cNvPr id="42" name="文本框 42"/>
                          <wps:cNvSpPr txBox="1"/>
                          <wps:spPr>
                            <a:xfrm>
                              <a:off x="3350" y="2542"/>
                              <a:ext cx="1436" cy="616"/>
                            </a:xfrm>
                            <a:prstGeom prst="rect">
                              <a:avLst/>
                            </a:prstGeom>
                            <a:noFill/>
                            <a:ln>
                              <a:noFill/>
                            </a:ln>
                          </wps:spPr>
                          <wps:txbx>
                            <w:txbxContent>
                              <w:p>
                                <w:pPr>
                                  <w:spacing w:line="240" w:lineRule="exact"/>
                                  <w:rPr>
                                    <w:rFonts w:hint="eastAsia" w:ascii="仿宋_GB2312" w:hAnsi="仿宋_GB2312" w:eastAsia="仿宋_GB2312"/>
                                    <w:sz w:val="18"/>
                                  </w:rPr>
                                </w:pPr>
                                <w:r>
                                  <w:rPr>
                                    <w:rFonts w:hint="eastAsia" w:ascii="仿宋_GB2312" w:hAnsi="仿宋_GB2312" w:eastAsia="仿宋_GB2312"/>
                                    <w:sz w:val="18"/>
                                  </w:rPr>
                                  <w:t>申请不需要取得行政许可</w:t>
                                </w:r>
                              </w:p>
                            </w:txbxContent>
                          </wps:txbx>
                          <wps:bodyPr lIns="91439" tIns="45719" rIns="91439" bIns="45719" upright="1"/>
                        </wps:wsp>
                        <wps:wsp>
                          <wps:cNvPr id="43" name="直接连接符 43"/>
                          <wps:cNvCnPr/>
                          <wps:spPr>
                            <a:xfrm flipH="1">
                              <a:off x="3209" y="666"/>
                              <a:ext cx="2200" cy="1"/>
                            </a:xfrm>
                            <a:prstGeom prst="line">
                              <a:avLst/>
                            </a:prstGeom>
                            <a:ln w="15875" cap="flat" cmpd="sng">
                              <a:solidFill>
                                <a:srgbClr val="000000"/>
                              </a:solidFill>
                              <a:prstDash val="solid"/>
                              <a:headEnd type="none" w="med" len="med"/>
                              <a:tailEnd type="triangle" w="med" len="med"/>
                            </a:ln>
                          </wps:spPr>
                          <wps:bodyPr upright="1"/>
                        </wps:wsp>
                        <wps:wsp>
                          <wps:cNvPr id="44" name="直接连接符 44"/>
                          <wps:cNvCnPr/>
                          <wps:spPr>
                            <a:xfrm flipV="1">
                              <a:off x="6509" y="874"/>
                              <a:ext cx="1" cy="663"/>
                            </a:xfrm>
                            <a:prstGeom prst="line">
                              <a:avLst/>
                            </a:prstGeom>
                            <a:ln w="15875" cap="flat" cmpd="sng">
                              <a:solidFill>
                                <a:srgbClr val="000000"/>
                              </a:solidFill>
                              <a:prstDash val="solid"/>
                              <a:headEnd type="none" w="med" len="med"/>
                              <a:tailEnd type="triangle" w="med" len="med"/>
                            </a:ln>
                          </wps:spPr>
                          <wps:bodyPr upright="1"/>
                        </wps:wsp>
                        <wps:wsp>
                          <wps:cNvPr id="45" name="直接连接符 45"/>
                          <wps:cNvCnPr/>
                          <wps:spPr>
                            <a:xfrm>
                              <a:off x="1897" y="1171"/>
                              <a:ext cx="1" cy="687"/>
                            </a:xfrm>
                            <a:prstGeom prst="line">
                              <a:avLst/>
                            </a:prstGeom>
                            <a:ln w="15875" cap="flat" cmpd="sng">
                              <a:solidFill>
                                <a:srgbClr val="000000"/>
                              </a:solidFill>
                              <a:prstDash val="solid"/>
                              <a:headEnd type="none" w="med" len="med"/>
                              <a:tailEnd type="triangle" w="med" len="med"/>
                            </a:ln>
                          </wps:spPr>
                          <wps:bodyPr upright="1"/>
                        </wps:wsp>
                        <wps:wsp>
                          <wps:cNvPr id="46" name="直接连接符 46"/>
                          <wps:cNvCnPr/>
                          <wps:spPr>
                            <a:xfrm>
                              <a:off x="1934" y="3257"/>
                              <a:ext cx="1" cy="788"/>
                            </a:xfrm>
                            <a:prstGeom prst="line">
                              <a:avLst/>
                            </a:prstGeom>
                            <a:ln w="15875" cap="flat" cmpd="sng">
                              <a:solidFill>
                                <a:srgbClr val="000000"/>
                              </a:solidFill>
                              <a:prstDash val="solid"/>
                              <a:headEnd type="none" w="med" len="med"/>
                              <a:tailEnd type="triangle" w="med" len="med"/>
                            </a:ln>
                          </wps:spPr>
                          <wps:bodyPr upright="1"/>
                        </wps:wsp>
                        <wps:wsp>
                          <wps:cNvPr id="47" name="直接连接符 47"/>
                          <wps:cNvCnPr/>
                          <wps:spPr>
                            <a:xfrm>
                              <a:off x="1912" y="7741"/>
                              <a:ext cx="1" cy="679"/>
                            </a:xfrm>
                            <a:prstGeom prst="line">
                              <a:avLst/>
                            </a:prstGeom>
                            <a:ln w="15875" cap="flat" cmpd="sng">
                              <a:solidFill>
                                <a:srgbClr val="000000"/>
                              </a:solidFill>
                              <a:prstDash val="solid"/>
                              <a:headEnd type="none" w="med" len="med"/>
                              <a:tailEnd type="triangle" w="med" len="med"/>
                            </a:ln>
                          </wps:spPr>
                          <wps:bodyPr upright="1"/>
                        </wps:wsp>
                        <wps:wsp>
                          <wps:cNvPr id="48" name="直接连接符 48"/>
                          <wps:cNvCnPr/>
                          <wps:spPr>
                            <a:xfrm>
                              <a:off x="1909" y="10220"/>
                              <a:ext cx="1" cy="613"/>
                            </a:xfrm>
                            <a:prstGeom prst="line">
                              <a:avLst/>
                            </a:prstGeom>
                            <a:ln w="15875" cap="flat" cmpd="sng">
                              <a:solidFill>
                                <a:srgbClr val="000000"/>
                              </a:solidFill>
                              <a:prstDash val="solid"/>
                              <a:headEnd type="none" w="med" len="med"/>
                              <a:tailEnd type="triangle" w="med" len="med"/>
                            </a:ln>
                          </wps:spPr>
                          <wps:bodyPr upright="1"/>
                        </wps:wsp>
                        <wps:wsp>
                          <wps:cNvPr id="49" name="直接连接符 49"/>
                          <wps:cNvCnPr/>
                          <wps:spPr>
                            <a:xfrm flipH="1">
                              <a:off x="3196" y="6653"/>
                              <a:ext cx="1113" cy="1"/>
                            </a:xfrm>
                            <a:prstGeom prst="line">
                              <a:avLst/>
                            </a:prstGeom>
                            <a:ln w="15875" cap="flat" cmpd="sng">
                              <a:solidFill>
                                <a:srgbClr val="000000"/>
                              </a:solidFill>
                              <a:prstDash val="solid"/>
                              <a:headEnd type="none" w="med" len="med"/>
                              <a:tailEnd type="triangle" w="med" len="med"/>
                            </a:ln>
                          </wps:spPr>
                          <wps:bodyPr upright="1"/>
                        </wps:wsp>
                        <wps:wsp>
                          <wps:cNvPr id="50" name="直接连接符 50"/>
                          <wps:cNvCnPr/>
                          <wps:spPr>
                            <a:xfrm>
                              <a:off x="5671" y="4415"/>
                              <a:ext cx="1" cy="1238"/>
                            </a:xfrm>
                            <a:prstGeom prst="line">
                              <a:avLst/>
                            </a:prstGeom>
                            <a:ln w="15875" cap="flat" cmpd="sng">
                              <a:solidFill>
                                <a:srgbClr val="000000"/>
                              </a:solidFill>
                              <a:prstDash val="solid"/>
                              <a:headEnd type="none" w="med" len="med"/>
                              <a:tailEnd type="triangle" w="med" len="med"/>
                            </a:ln>
                          </wps:spPr>
                          <wps:bodyPr upright="1"/>
                        </wps:wsp>
                        <wps:wsp>
                          <wps:cNvPr id="51" name="文本框 51"/>
                          <wps:cNvSpPr txBox="1"/>
                          <wps:spPr>
                            <a:xfrm>
                              <a:off x="2998" y="3952"/>
                              <a:ext cx="2589" cy="457"/>
                            </a:xfrm>
                            <a:prstGeom prst="rect">
                              <a:avLst/>
                            </a:prstGeom>
                            <a:noFill/>
                            <a:ln>
                              <a:noFill/>
                            </a:ln>
                          </wps:spPr>
                          <wps:txbx>
                            <w:txbxContent>
                              <w:p>
                                <w:pPr>
                                  <w:spacing w:line="240" w:lineRule="atLeast"/>
                                  <w:jc w:val="center"/>
                                  <w:rPr>
                                    <w:rFonts w:hint="eastAsia" w:ascii="仿宋_GB2312" w:hAnsi="仿宋_GB2312" w:eastAsia="仿宋_GB2312"/>
                                    <w:sz w:val="18"/>
                                  </w:rPr>
                                </w:pPr>
                                <w:r>
                                  <w:rPr>
                                    <w:rFonts w:hint="eastAsia" w:ascii="仿宋_GB2312" w:hAnsi="仿宋_GB2312" w:eastAsia="仿宋_GB2312"/>
                                    <w:sz w:val="18"/>
                                  </w:rPr>
                                  <w:t>地市级以上分支机构受理</w:t>
                                </w:r>
                              </w:p>
                            </w:txbxContent>
                          </wps:txbx>
                          <wps:bodyPr lIns="91439" tIns="45719" rIns="91439" bIns="45719" upright="1"/>
                        </wps:wsp>
                        <wps:wsp>
                          <wps:cNvPr id="52" name="文本框 52"/>
                          <wps:cNvSpPr txBox="1"/>
                          <wps:spPr>
                            <a:xfrm>
                              <a:off x="1964" y="4804"/>
                              <a:ext cx="708" cy="703"/>
                            </a:xfrm>
                            <a:prstGeom prst="rect">
                              <a:avLst/>
                            </a:prstGeom>
                            <a:noFill/>
                            <a:ln>
                              <a:noFill/>
                            </a:ln>
                          </wps:spPr>
                          <wps:txbx>
                            <w:txbxContent>
                              <w:p>
                                <w:pPr>
                                  <w:rPr>
                                    <w:rFonts w:hint="eastAsia" w:ascii="仿宋_GB2312" w:hAnsi="仿宋_GB2312" w:eastAsia="仿宋_GB2312"/>
                                    <w:sz w:val="18"/>
                                  </w:rPr>
                                </w:pPr>
                                <w:r>
                                  <w:rPr>
                                    <w:rFonts w:hint="eastAsia" w:ascii="仿宋_GB2312" w:hAnsi="仿宋_GB2312" w:eastAsia="仿宋_GB2312"/>
                                    <w:sz w:val="18"/>
                                  </w:rPr>
                                  <w:t>直接</w:t>
                                </w:r>
                              </w:p>
                              <w:p>
                                <w:pPr>
                                  <w:rPr>
                                    <w:rFonts w:hint="eastAsia" w:ascii="仿宋_GB2312" w:hAnsi="仿宋_GB2312" w:eastAsia="仿宋_GB2312"/>
                                    <w:sz w:val="18"/>
                                  </w:rPr>
                                </w:pPr>
                                <w:r>
                                  <w:rPr>
                                    <w:rFonts w:hint="eastAsia" w:ascii="仿宋_GB2312" w:hAnsi="仿宋_GB2312" w:eastAsia="仿宋_GB2312"/>
                                    <w:sz w:val="18"/>
                                  </w:rPr>
                                  <w:t>受理</w:t>
                                </w:r>
                              </w:p>
                            </w:txbxContent>
                          </wps:txbx>
                          <wps:bodyPr lIns="91439" tIns="45719" rIns="91439" bIns="45719" upright="1"/>
                        </wps:wsp>
                        <wps:wsp>
                          <wps:cNvPr id="53" name="文本框 53"/>
                          <wps:cNvSpPr txBox="1"/>
                          <wps:spPr>
                            <a:xfrm>
                              <a:off x="532" y="3257"/>
                              <a:ext cx="1340" cy="616"/>
                            </a:xfrm>
                            <a:prstGeom prst="rect">
                              <a:avLst/>
                            </a:prstGeom>
                            <a:noFill/>
                            <a:ln>
                              <a:noFill/>
                            </a:ln>
                          </wps:spPr>
                          <wps:txbx>
                            <w:txbxContent>
                              <w:p>
                                <w:pPr>
                                  <w:spacing w:line="240" w:lineRule="exact"/>
                                  <w:rPr>
                                    <w:rFonts w:hint="eastAsia" w:ascii="仿宋_GB2312" w:hAnsi="仿宋_GB2312" w:eastAsia="仿宋_GB2312"/>
                                    <w:sz w:val="18"/>
                                  </w:rPr>
                                </w:pP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9.1pt;margin-top:8.55pt;height:583.8pt;width:439.8pt;z-index:251663360;mso-width-relative:page;mso-height-relative:page;" coordsize="8796,11676" o:gfxdata="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DqXTcm2AAAAAoBAAAPAAAAAAAAAAEAIAAAACIAAABkcnMvZG93bnJldi54&#10;bWxQSwECFAAUAAAACACHTuJAqPmi/OAGAADtPgAADgAAAAAAAAABACAAAAAnAQAAZHJzL2Uyb0Rv&#10;Yy54bWxQSwUGAAAAAAYABgBZAQAAeQoAAAAA&#10;">
                <o:lock v:ext="edit" aspectratio="f"/>
                <v:line id="_x0000_s1026" o:spid="_x0000_s1026" o:spt="20" style="position:absolute;left:3200;top:1924;height:1;width:1831;" filled="f" stroked="t" coordsize="21600,21600" o:gfxdata="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BtU+8AAAA&#10;2wAAAA8AAAAAAAAAAQAgAAAAIgAAAGRycy9kb3ducmV2LnhtbFBLAQIUABQAAAAIAIdO4kAzLwWe&#10;OwAAADkAAAAQAAAAAAAAAAEAIAAAAAsBAABkcnMvc2hhcGV4bWwueG1sUEsFBgAAAAAGAAYAWwEA&#10;ALUDAAAAAA==&#10;">
                  <v:fill on="f" focussize="0,0"/>
                  <v:stroke weight="0.25pt" color="#000000" joinstyle="round" endarrow="block"/>
                  <v:imagedata o:title=""/>
                  <o:lock v:ext="edit" aspectratio="f"/>
                </v:line>
                <v:line id="_x0000_s1026" o:spid="_x0000_s1026" o:spt="20" style="position:absolute;left:3216;top:2516;height:1;width:1831;" filled="f" stroked="t" coordsize="21600,21600" o:gfxdata="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0Q1L4A&#10;AADb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line>
                <v:line id="_x0000_s1026" o:spid="_x0000_s1026" o:spt="20" style="position:absolute;left:3216;top:3124;height:1;width:1831;"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0;top:0;height:11676;width:8796;" coordsize="8796,1167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855;height:13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w:t>
                          </w:r>
                          <w:r>
                            <w:rPr>
                              <w:rFonts w:hint="eastAsia" w:ascii="仿宋_GB2312" w:hAnsi="仿宋_GB2312" w:eastAsia="仿宋_GB2312" w:cs="仿宋_GB2312"/>
                              <w:sz w:val="24"/>
                            </w:rPr>
                            <w:t>省内地市级以上分支机构接件，并于5 个工作日内做出审查决定</w:t>
                          </w:r>
                        </w:p>
                      </w:txbxContent>
                    </v:textbox>
                  </v:shape>
                  <v:shape id="_x0000_s1026" o:spid="_x0000_s1026" o:spt="202" type="#_x0000_t202" style="position:absolute;left:1111;top:4031;height:768;width:166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受理，并进行审查</w:t>
                          </w:r>
                        </w:p>
                      </w:txbxContent>
                    </v:textbox>
                  </v:shape>
                  <v:shape id="_x0000_s1026" o:spid="_x0000_s1026" o:spt="202" type="#_x0000_t202" style="position:absolute;left:4298;top:5661;height:2007;width:2918;"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w:t>
                          </w:r>
                          <w:r>
                            <w:rPr>
                              <w:rFonts w:hint="eastAsia" w:ascii="仿宋_GB2312" w:hAnsi="仿宋_GB2312" w:eastAsia="仿宋_GB2312" w:cs="仿宋_GB2312"/>
                              <w:sz w:val="24"/>
                            </w:rPr>
                            <w:t>省内地市级以上分支机构自受理行政许可申请之日起20 个工作日内将初步审查意见和全部申请材料直接报送上一级机构</w:t>
                          </w:r>
                        </w:p>
                      </w:txbxContent>
                    </v:textbox>
                  </v:shape>
                  <v:shape id="_x0000_s1026" o:spid="_x0000_s1026" o:spt="202" type="#_x0000_t202" style="position:absolute;left:732;top:5622;height:2109;width:24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湖南省分行</w:t>
                          </w:r>
                          <w:r>
                            <w:rPr>
                              <w:rFonts w:hint="eastAsia" w:ascii="仿宋_GB2312" w:hAnsi="仿宋_GB2312" w:eastAsia="仿宋_GB2312" w:cs="仿宋_GB2312"/>
                              <w:sz w:val="24"/>
                            </w:rPr>
                            <w:t>自受理之日起20个工作日内做出行政许可决定</w:t>
                          </w:r>
                        </w:p>
                      </w:txbxContent>
                    </v:textbox>
                  </v:shape>
                  <v:shape id="_x0000_s1026" o:spid="_x0000_s1026" o:spt="202" type="#_x0000_t202" style="position:absolute;left:0;top:8479;height:1736;width:3974;"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现场或信函申请的，通知申请人邮寄或现场领取审批结果</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v:textbox>
                  </v:shape>
                  <v:shape id="_x0000_s1026" o:spid="_x0000_s1026" o:spt="202" type="#_x0000_t202" style="position:absolute;left:884;top:10890;height:786;width:206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v:shape id="_x0000_s1026" o:spid="_x0000_s1026" o:spt="202" type="#_x0000_t202" style="position:absolute;left:720;top:0;height:1129;width:2511;"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hint="eastAsia"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v:textbox>
                  </v:shape>
                  <v:shape id="_x0000_s1026" o:spid="_x0000_s1026" o:spt="202" type="#_x0000_t202" style="position:absolute;left:5425;top:400;height:481;width:2026;"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025;top:1565;height:510;width:37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v:textbox>
                  </v:shape>
                  <v:shape id="_x0000_s1026" o:spid="_x0000_s1026" o:spt="202" type="#_x0000_t202" style="position:absolute;left:5048;top:2273;height:512;width:3333;"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v:textbox>
                  </v:shape>
                  <v:shape id="_x0000_s1026" o:spid="_x0000_s1026" o:spt="202" type="#_x0000_t202" style="position:absolute;left:5047;top:2905;height:486;width:331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v:textbox>
                  </v:shape>
                  <v:shape id="_x0000_s1026" o:spid="_x0000_s1026" o:spt="202" type="#_x0000_t202" style="position:absolute;left:3374;top:1278;height:597;width:1436;"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pPr>
                            <w:spacing w:line="240" w:lineRule="exact"/>
                            <w:rPr>
                              <w:rFonts w:hint="eastAsia" w:ascii="仿宋_GB2312" w:hAnsi="仿宋_GB2312" w:eastAsia="仿宋_GB2312"/>
                              <w:sz w:val="18"/>
                            </w:rPr>
                          </w:pPr>
                          <w:r>
                            <w:rPr>
                              <w:rFonts w:hint="eastAsia" w:ascii="仿宋_GB2312" w:hAnsi="仿宋_GB2312" w:eastAsia="仿宋_GB2312"/>
                              <w:sz w:val="18"/>
                            </w:rPr>
                            <w:t>材料不全、不符合法定形式</w:t>
                          </w:r>
                        </w:p>
                      </w:txbxContent>
                    </v:textbox>
                  </v:shape>
                  <v:shape id="_x0000_s1026" o:spid="_x0000_s1026" o:spt="202" type="#_x0000_t202" style="position:absolute;left:3350;top:1919;height:617;width:1436;" filled="f" stroked="f" coordsize="21600,21600" o:gfxdata="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HfUvQAA&#10;ANsAAAAPAAAAAAAAAAEAIAAAACIAAABkcnMvZG93bnJldi54bWxQSwECFAAUAAAACACHTuJAMy8F&#10;njsAAAA5AAAAEAAAAAAAAAABACAAAAAMAQAAZHJzL3NoYXBleG1sLnhtbFBLBQYAAAAABgAGAFsB&#10;AAC2AwAAAAA=&#10;">
                    <v:fill on="f" focussize="0,0"/>
                    <v:stroke on="f"/>
                    <v:imagedata o:title=""/>
                    <o:lock v:ext="edit" aspectratio="f"/>
                    <v:textbox inset="7.19992125984252pt,3.59992125984252pt,7.19992125984252pt,3.59992125984252pt">
                      <w:txbxContent>
                        <w:p>
                          <w:pPr>
                            <w:spacing w:line="240" w:lineRule="exact"/>
                            <w:rPr>
                              <w:rFonts w:hint="eastAsia" w:ascii="仿宋_GB2312" w:hAnsi="仿宋_GB2312" w:eastAsia="仿宋_GB2312"/>
                              <w:sz w:val="18"/>
                            </w:rPr>
                          </w:pPr>
                          <w:r>
                            <w:rPr>
                              <w:rFonts w:hint="eastAsia" w:ascii="仿宋_GB2312" w:hAnsi="仿宋_GB2312" w:eastAsia="仿宋_GB2312"/>
                              <w:sz w:val="18"/>
                            </w:rPr>
                            <w:t>申请不属于本部门职权范围</w:t>
                          </w:r>
                        </w:p>
                      </w:txbxContent>
                    </v:textbox>
                  </v:shape>
                  <v:shape id="_x0000_s1026" o:spid="_x0000_s1026" o:spt="202" type="#_x0000_t202" style="position:absolute;left:3350;top:2542;height:616;width:1436;"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exact"/>
                            <w:rPr>
                              <w:rFonts w:hint="eastAsia" w:ascii="仿宋_GB2312" w:hAnsi="仿宋_GB2312" w:eastAsia="仿宋_GB2312"/>
                              <w:sz w:val="18"/>
                            </w:rPr>
                          </w:pPr>
                          <w:r>
                            <w:rPr>
                              <w:rFonts w:hint="eastAsia" w:ascii="仿宋_GB2312" w:hAnsi="仿宋_GB2312" w:eastAsia="仿宋_GB2312"/>
                              <w:sz w:val="18"/>
                            </w:rPr>
                            <w:t>申请不需要取得行政许可</w:t>
                          </w:r>
                        </w:p>
                      </w:txbxContent>
                    </v:textbox>
                  </v:shape>
                  <v:line id="_x0000_s1026" o:spid="_x0000_s1026" o:spt="20" style="position:absolute;left:3209;top:666;flip:x;height:1;width:2200;" filled="f" stroked="t" coordsize="21600,21600" o:gfxdata="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h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6509;top:874;flip:y;height:663;width:1;"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897;top:1171;height:687;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34;top:3257;height:788;width:1;" filled="f" stroked="t" coordsize="21600,21600" o:gfxdata="UEsDBAoAAAAAAIdO4kAAAAAAAAAAAAAAAAAEAAAAZHJzL1BLAwQUAAAACACHTuJAFgsdMr0AAADb&#10;AAAADwAAAGRycy9kb3ducmV2LnhtbEWPzWrDMBCE74W8g9hAb43kk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x0y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12;top:7741;height:679;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909;top:10220;height:613;width:1;" filled="f" stroked="t" coordsize="21600,21600" o:gfxdata="UEsDBAoAAAAAAIdO4kAAAAAAAAAAAAAAAAAEAAAAZHJzL1BLAwQUAAAACACHTuJACNgs27oAAADb&#10;AAAADwAAAGRycy9kb3ducmV2LnhtbEVPz2vCMBS+D/wfwhN2W5MOt0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Cz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196;top:6653;flip:x;height:1;width:1113;" filled="f" stroked="t" coordsize="21600,21600" o:gfxdata="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x+0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671;top:4415;height:1238;width:1;" filled="f" stroked="t" coordsize="21600,21600" o:gfxdata="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3tgC5AAAA2w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shape id="_x0000_s1026" o:spid="_x0000_s1026" o:spt="202" type="#_x0000_t202" style="position:absolute;left:2998;top:3952;height:457;width:2589;" filled="f" stroked="f" coordsize="21600,21600" o:gfxdata="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l4Qm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atLeast"/>
                            <w:jc w:val="center"/>
                            <w:rPr>
                              <w:rFonts w:hint="eastAsia" w:ascii="仿宋_GB2312" w:hAnsi="仿宋_GB2312" w:eastAsia="仿宋_GB2312"/>
                              <w:sz w:val="18"/>
                            </w:rPr>
                          </w:pPr>
                          <w:r>
                            <w:rPr>
                              <w:rFonts w:hint="eastAsia" w:ascii="仿宋_GB2312" w:hAnsi="仿宋_GB2312" w:eastAsia="仿宋_GB2312"/>
                              <w:sz w:val="18"/>
                            </w:rPr>
                            <w:t>地市级以上分支机构受理</w:t>
                          </w:r>
                        </w:p>
                      </w:txbxContent>
                    </v:textbox>
                  </v:shape>
                  <v:shape id="_x0000_s1026" o:spid="_x0000_s1026" o:spt="202" type="#_x0000_t202" style="position:absolute;left:1964;top:4804;height:703;width:708;" filled="f" stroked="f" coordsize="21600,21600" o:gfxdata="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3f36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rPr>
                              <w:rFonts w:hint="eastAsia" w:ascii="仿宋_GB2312" w:hAnsi="仿宋_GB2312" w:eastAsia="仿宋_GB2312"/>
                              <w:sz w:val="18"/>
                            </w:rPr>
                          </w:pPr>
                          <w:r>
                            <w:rPr>
                              <w:rFonts w:hint="eastAsia" w:ascii="仿宋_GB2312" w:hAnsi="仿宋_GB2312" w:eastAsia="仿宋_GB2312"/>
                              <w:sz w:val="18"/>
                            </w:rPr>
                            <w:t>直接</w:t>
                          </w:r>
                        </w:p>
                        <w:p>
                          <w:pPr>
                            <w:rPr>
                              <w:rFonts w:hint="eastAsia" w:ascii="仿宋_GB2312" w:hAnsi="仿宋_GB2312" w:eastAsia="仿宋_GB2312"/>
                              <w:sz w:val="18"/>
                            </w:rPr>
                          </w:pPr>
                          <w:r>
                            <w:rPr>
                              <w:rFonts w:hint="eastAsia" w:ascii="仿宋_GB2312" w:hAnsi="仿宋_GB2312" w:eastAsia="仿宋_GB2312"/>
                              <w:sz w:val="18"/>
                            </w:rPr>
                            <w:t>受理</w:t>
                          </w:r>
                        </w:p>
                      </w:txbxContent>
                    </v:textbox>
                  </v:shape>
                  <v:shape id="_x0000_s1026" o:spid="_x0000_s1026" o:spt="202" type="#_x0000_t202" style="position:absolute;left:532;top:3257;height:616;width:134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exact"/>
                            <w:rPr>
                              <w:rFonts w:hint="eastAsia" w:ascii="仿宋_GB2312" w:hAnsi="仿宋_GB2312" w:eastAsia="仿宋_GB2312"/>
                              <w:sz w:val="18"/>
                            </w:rPr>
                          </w:pPr>
                          <w:r>
                            <w:rPr>
                              <w:rFonts w:hint="eastAsia" w:ascii="仿宋_GB2312" w:hAnsi="仿宋_GB2312" w:eastAsia="仿宋_GB2312"/>
                              <w:sz w:val="18"/>
                            </w:rPr>
                            <w:t>材料齐全，符合法定形式</w:t>
                          </w:r>
                        </w:p>
                      </w:txbxContent>
                    </v:textbox>
                  </v:shape>
                </v:group>
              </v:group>
            </w:pict>
          </mc:Fallback>
        </mc:AlternateConten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24"/>
        </w:rPr>
      </w:pPr>
      <w:r>
        <w:rPr>
          <w:rFonts w:hint="eastAsia" w:ascii="仿宋_GB2312" w:hAnsi="仿宋_GB2312" w:eastAsia="仿宋_GB2312" w:cs="仿宋_GB2312"/>
          <w:sz w:val="30"/>
          <w:szCs w:val="30"/>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30"/>
          <w:szCs w:val="30"/>
        </w:rPr>
        <w:t xml:space="preserve">        </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24"/>
        </w:rPr>
        <w:t xml:space="preserve">                             </w:t>
      </w:r>
    </w:p>
    <w:p>
      <w:pPr>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ind w:firstLine="600" w:firstLineChars="200"/>
        <w:jc w:val="left"/>
        <w:rPr>
          <w:rFonts w:hint="eastAsia" w:ascii="仿宋_GB2312" w:hAnsi="仿宋_GB2312" w:eastAsia="仿宋_GB2312" w:cs="仿宋_GB2312"/>
          <w:sz w:val="30"/>
          <w:szCs w:val="30"/>
        </w:rPr>
      </w:pPr>
    </w:p>
    <w:p>
      <w:pPr>
        <w:ind w:firstLine="420" w:firstLineChars="200"/>
        <w:jc w:val="left"/>
        <w:rPr>
          <w:rFonts w:hint="eastAsia" w:ascii="仿宋_GB2312" w:hAnsi="仿宋_GB2312" w:eastAsia="仿宋_GB2312" w:cs="仿宋_GB2312"/>
          <w:sz w:val="30"/>
          <w:szCs w:val="30"/>
        </w:rPr>
      </w:pPr>
      <w: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334645</wp:posOffset>
                </wp:positionV>
                <wp:extent cx="1841500"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8415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8.9pt;margin-top:26.35pt;height:0.05pt;width:145pt;z-index:251661312;mso-width-relative:page;mso-height-relative:page;" filled="f" stroked="t" coordsize="21600,21600" o:gfxdata="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DFQgHXAAAACQEAAA8AAAAAAAAAAQAgAAAAIgAAAGRycy9kb3ducmV2LnhtbFBL&#10;AQIUABQAAAAIAIdO4kBSYUz69wEAAOkDAAAOAAAAAAAAAAEAIAAAACYBAABkcnMvZTJvRG9jLnht&#10;bFBLBQYAAAAABgAGAFkBAACPBQAAAAA=&#10;">
                <v:fill on="f" focussize="0,0"/>
                <v:stroke weight="1.25pt" color="#000000" joinstyle="round"/>
                <v:imagedata o:title=""/>
                <o:lock v:ext="edit" aspectratio="f"/>
              </v:line>
            </w:pict>
          </mc:Fallback>
        </mc:AlternateContent>
      </w:r>
    </w:p>
    <w:p>
      <w:pPr>
        <w:ind w:firstLine="420" w:firstLineChars="200"/>
        <w:jc w:val="left"/>
        <w:rPr>
          <w:rFonts w:hint="eastAsia" w:ascii="仿宋_GB2312" w:hAnsi="仿宋_GB2312" w:eastAsia="仿宋_GB2312" w:cs="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197485</wp:posOffset>
                </wp:positionV>
                <wp:extent cx="635" cy="508000"/>
                <wp:effectExtent l="37465" t="0" r="38100" b="6350"/>
                <wp:wrapNone/>
                <wp:docPr id="57" name="直接连接符 57"/>
                <wp:cNvGraphicFramePr/>
                <a:graphic xmlns:a="http://schemas.openxmlformats.org/drawingml/2006/main">
                  <a:graphicData uri="http://schemas.microsoft.com/office/word/2010/wordprocessingShape">
                    <wps:wsp>
                      <wps:cNvCnPr/>
                      <wps:spPr>
                        <a:xfrm>
                          <a:off x="0" y="0"/>
                          <a:ext cx="635" cy="5080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5.8pt;margin-top:15.55pt;height:40pt;width:0.05pt;z-index:251662336;mso-width-relative:page;mso-height-relative:page;" filled="f" stroked="t" coordsize="21600,21600" o:gfxdata="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Z4t1QAAAAoBAAAPAAAAAAAAAAEAIAAAACIAAABkcnMvZG93bnJl&#10;di54bWxQSwECFAAUAAAACACHTuJAyTTQzgACAADsAwAADgAAAAAAAAABACAAAAAkAQAAZHJzL2Uy&#10;b0RvYy54bWxQSwUGAAAAAAYABgBZAQAAlgUAAAAA&#10;">
                <v:fill on="f" focussize="0,0"/>
                <v:stroke weight="1.25pt" color="#000000" joinstyle="round" endarrow="block"/>
                <v:imagedata o:title=""/>
                <o:lock v:ext="edit" aspectratio="f"/>
              </v:line>
            </w:pict>
          </mc:Fallback>
        </mc:AlternateConten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480" w:firstLineChars="200"/>
        <w:jc w:val="left"/>
        <w:rPr>
          <w:rFonts w:hint="eastAsia" w:ascii="仿宋_GB2312" w:hAnsi="仿宋_GB2312" w:eastAsia="仿宋_GB2312" w:cs="仿宋_GB2312"/>
          <w:sz w:val="24"/>
        </w:rPr>
      </w:pPr>
    </w:p>
    <w:p>
      <w:pPr>
        <w:ind w:firstLine="723" w:firstLineChars="200"/>
        <w:jc w:val="center"/>
        <w:rPr>
          <w:rFonts w:hint="eastAsia" w:ascii="仿宋_GB2312" w:hAnsi="仿宋_GB2312" w:eastAsia="仿宋_GB2312" w:cs="仿宋_GB2312"/>
          <w:b/>
          <w:bCs/>
          <w:sz w:val="36"/>
          <w:szCs w:val="36"/>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附录2</w:t>
      </w:r>
    </w:p>
    <w:p>
      <w:pPr>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申请材料示范文本</w:t>
      </w: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我单位因自身生产/加工/经营需要，现提出黄金制品进/出口申请，具体情况如下：</w:t>
      </w:r>
    </w:p>
    <w:p>
      <w:pPr>
        <w:numPr>
          <w:ilvl w:val="0"/>
          <w:numId w:val="2"/>
        </w:num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申请人基本情况、生产经营规模和能力。 </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二、申请进出口黄金制品的主要目的、用途和计划数量等业务情况说明。</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三、住所（办公场所）。</w: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申请单位名称</w:t>
      </w:r>
    </w:p>
    <w:p>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（公章）</w:t>
      </w:r>
    </w:p>
    <w:p>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ind w:firstLine="600" w:firstLineChars="200"/>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附录3</w:t>
      </w:r>
    </w:p>
    <w:p>
      <w:pPr>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常见错误示例</w:t>
      </w:r>
    </w:p>
    <w:p>
      <w:pPr>
        <w:ind w:firstLine="602" w:firstLineChars="200"/>
        <w:jc w:val="left"/>
        <w:outlineLvl w:val="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一、申请报告抬头错误</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错误：“人行”。</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正确：中国人民银行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w:t>
      </w:r>
    </w:p>
    <w:p>
      <w:pPr>
        <w:ind w:firstLine="602" w:firstLineChars="200"/>
        <w:jc w:val="left"/>
        <w:outlineLvl w:val="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 申请黄金制品进出口受理机构错误</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错误：注册地在北京的黄金制品进出口企业，计划在</w:t>
      </w:r>
      <w:r>
        <w:rPr>
          <w:rFonts w:hint="eastAsia" w:ascii="仿宋_GB2312" w:hAnsi="仿宋_GB2312" w:eastAsia="仿宋_GB2312" w:cs="仿宋_GB2312"/>
          <w:sz w:val="30"/>
          <w:szCs w:val="30"/>
          <w:lang w:eastAsia="zh-CN"/>
        </w:rPr>
        <w:t>长沙</w:t>
      </w:r>
      <w:r>
        <w:rPr>
          <w:rFonts w:hint="eastAsia" w:ascii="仿宋_GB2312" w:hAnsi="仿宋_GB2312" w:eastAsia="仿宋_GB2312" w:cs="仿宋_GB2312"/>
          <w:sz w:val="30"/>
          <w:szCs w:val="30"/>
        </w:rPr>
        <w:t>开展黄金制品进出口业务，于是向中国人民银行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递交申请。</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确：根据《黄金及其制品进出口管理办法》第十一条“申请黄金制品进出口的，应当向申请人住所地的中国人民银行地市级以上分支机构提交下列材料……”。因此，该黄金制品进出口企业应向中国人民银行营业管理部递交申请。</w:t>
      </w:r>
    </w:p>
    <w:p>
      <w:pPr>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三、“单一窗口”上传的补正材料文件名错误</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错误：补正材料的文件名称与之前上传的文件同名。</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正确：补正材料标题应加“补正”字样。</w:t>
      </w:r>
    </w:p>
    <w:p>
      <w:pPr>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四、代理协议有效期错误</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错误：未对有效期为长期或者自动续展的代理协议进行说明。</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正确：对明确有效期为长期或自动续展的代理协议，需另外提交加盖申请人公章的说明材料。并随代理协议通过“单一窗口”系统上传。</w:t>
      </w:r>
    </w:p>
    <w:p>
      <w:pPr>
        <w:ind w:firstLine="600" w:firstLineChars="200"/>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附录4</w:t>
      </w:r>
    </w:p>
    <w:p>
      <w:pPr>
        <w:ind w:firstLine="602" w:firstLineChars="20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常见问题解答</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一、申请进出口哪些黄金及其制品需要中国人民银行出具准许证？</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答：详见中国人民银行海关总署最新公告。目前执行中国人民银行 海关总署公告（</w:t>
      </w:r>
      <w:r>
        <w:rPr>
          <w:rFonts w:hint="eastAsia" w:ascii="仿宋" w:hAnsi="仿宋" w:eastAsia="仿宋" w:cs="仿宋"/>
          <w:sz w:val="30"/>
          <w:szCs w:val="30"/>
        </w:rPr>
        <w:t>〔</w:t>
      </w:r>
      <w:r>
        <w:rPr>
          <w:rFonts w:hint="eastAsia" w:ascii="仿宋_GB2312" w:hAnsi="仿宋_GB2312" w:eastAsia="仿宋_GB2312" w:cs="仿宋_GB2312"/>
          <w:sz w:val="30"/>
          <w:szCs w:val="30"/>
        </w:rPr>
        <w:t>2016</w:t>
      </w:r>
      <w:r>
        <w:rPr>
          <w:rFonts w:hint="eastAsia" w:ascii="仿宋" w:hAnsi="仿宋" w:eastAsia="仿宋" w:cs="仿宋"/>
          <w:sz w:val="30"/>
          <w:szCs w:val="30"/>
        </w:rPr>
        <w:t>〕</w:t>
      </w:r>
      <w:r>
        <w:rPr>
          <w:rFonts w:hint="eastAsia" w:ascii="仿宋_GB2312" w:hAnsi="仿宋_GB2312" w:eastAsia="仿宋_GB2312" w:cs="仿宋_GB2312"/>
          <w:sz w:val="30"/>
          <w:szCs w:val="30"/>
        </w:rPr>
        <w:t>第32号）。</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二、以加工贸易方式进出口需要申请准许证吗？</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答：不需要。</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三、申请黄金制品进出口是否收费？</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答：不收费。</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四、如何查询黄金制品进出口申请办理进程和结果？</w:t>
      </w:r>
    </w:p>
    <w:p>
      <w:pPr>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答：可通过“单一窗口”黄金及黄金制品进出口准许证系统“进出口申请查询”功能查看办理进程和结果。也可通过电话等方式与中国人民银行</w:t>
      </w:r>
      <w:r>
        <w:rPr>
          <w:rFonts w:hint="eastAsia" w:ascii="仿宋_GB2312" w:hAnsi="仿宋_GB2312" w:eastAsia="仿宋_GB2312" w:cs="仿宋_GB2312"/>
          <w:sz w:val="30"/>
          <w:szCs w:val="30"/>
          <w:lang w:eastAsia="zh-CN"/>
        </w:rPr>
        <w:t>湖南省分行</w:t>
      </w:r>
      <w:r>
        <w:rPr>
          <w:rFonts w:hint="eastAsia" w:ascii="仿宋_GB2312" w:hAnsi="仿宋_GB2312" w:eastAsia="仿宋_GB2312" w:cs="仿宋_GB2312"/>
          <w:sz w:val="30"/>
          <w:szCs w:val="30"/>
        </w:rPr>
        <w:t>联系。</w:t>
      </w:r>
    </w:p>
    <w:p>
      <w:pPr>
        <w:jc w:val="left"/>
        <w:rPr>
          <w:rFonts w:hint="eastAsia" w:ascii="仿宋_GB2312" w:hAnsi="仿宋_GB2312" w:eastAsia="仿宋_GB2312" w:cs="仿宋_GB2312"/>
          <w:sz w:val="30"/>
          <w:szCs w:val="30"/>
        </w:rPr>
      </w:pPr>
    </w:p>
    <w:p/>
    <w:sectPr>
      <w:footerReference r:id="rId4" w:type="default"/>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1F3E"/>
    <w:multiLevelType w:val="singleLevel"/>
    <w:tmpl w:val="D7DC1F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27A505E"/>
    <w:rsid w:val="05B0306B"/>
    <w:rsid w:val="0620697A"/>
    <w:rsid w:val="08AC0FE5"/>
    <w:rsid w:val="0A1A096B"/>
    <w:rsid w:val="0B6F289E"/>
    <w:rsid w:val="0C7749BB"/>
    <w:rsid w:val="101C4459"/>
    <w:rsid w:val="10982A1F"/>
    <w:rsid w:val="10D728AF"/>
    <w:rsid w:val="18625DD6"/>
    <w:rsid w:val="1A412DEC"/>
    <w:rsid w:val="1A5307AE"/>
    <w:rsid w:val="1CD14402"/>
    <w:rsid w:val="220858DC"/>
    <w:rsid w:val="412D355D"/>
    <w:rsid w:val="46533F49"/>
    <w:rsid w:val="509A2B29"/>
    <w:rsid w:val="543B6113"/>
    <w:rsid w:val="56B77318"/>
    <w:rsid w:val="5C6B7C66"/>
    <w:rsid w:val="5D033B45"/>
    <w:rsid w:val="5EF60629"/>
    <w:rsid w:val="675165D0"/>
    <w:rsid w:val="6A24068A"/>
    <w:rsid w:val="6CF83620"/>
    <w:rsid w:val="6DBB6A2C"/>
    <w:rsid w:val="6EF35E67"/>
    <w:rsid w:val="6F4C4B80"/>
    <w:rsid w:val="73BA462E"/>
    <w:rsid w:val="7C4D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unhideWhenUsed/>
    <w:qFormat/>
    <w:uiPriority w:val="0"/>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2021-11-02T07:41:00Z</dcterms:created>
  <dc:creator>a</dc:creator>
  <cp:lastModifiedBy>孙佳成</cp:lastModifiedBy>
  <cp:lastPrinted>2023-09-20T03:01:00Z</cp:lastPrinted>
  <dcterms:modified xsi:type="dcterms:W3CDTF">2023-12-21T02:39:00Z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81D166EDF7C34FF6A748D18632246BFA</vt:lpwstr>
  </property>
</Properties>
</file>